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right"/>
        <w:keepLines/>
        <w:keepNext/>
        <w:rPr>
          <w:sz w:val="26"/>
          <w:szCs w:val="26"/>
        </w:rPr>
      </w:pPr>
      <w:r>
        <w:rPr>
          <w:sz w:val="22"/>
          <w:szCs w:val="22"/>
        </w:rPr>
        <w:t xml:space="preserve">Приложение №1 к Документации о закупке</w:t>
      </w:r>
      <w:r>
        <w:rPr>
          <w:sz w:val="22"/>
          <w:szCs w:val="22"/>
        </w:rPr>
      </w:r>
      <w:r>
        <w:rPr>
          <w:sz w:val="26"/>
          <w:szCs w:val="26"/>
        </w:rPr>
      </w:r>
    </w:p>
    <w:p>
      <w:pPr>
        <w:keepLines/>
        <w:keepNext/>
        <w:rPr>
          <w:sz w:val="26"/>
          <w:szCs w:val="26"/>
        </w:rPr>
      </w:pPr>
      <w:r>
        <w:rPr>
          <w:sz w:val="26"/>
          <w:szCs w:val="26"/>
        </w:rPr>
      </w:r>
      <w:r>
        <w:rPr>
          <w:sz w:val="26"/>
          <w:szCs w:val="26"/>
        </w:rPr>
      </w:r>
      <w:r>
        <w:rPr>
          <w:sz w:val="26"/>
          <w:szCs w:val="26"/>
        </w:rPr>
      </w:r>
    </w:p>
    <w:p>
      <w:pPr>
        <w:keepLines/>
        <w:keepNext/>
        <w:rPr>
          <w:sz w:val="26"/>
          <w:szCs w:val="26"/>
        </w:rPr>
      </w:pPr>
      <w:r>
        <w:rPr>
          <w:sz w:val="26"/>
          <w:szCs w:val="26"/>
        </w:rPr>
      </w:r>
      <w:r>
        <w:rPr>
          <w:sz w:val="26"/>
          <w:szCs w:val="26"/>
        </w:rPr>
      </w:r>
      <w:r>
        <w:rPr>
          <w:sz w:val="26"/>
          <w:szCs w:val="26"/>
        </w:rPr>
      </w:r>
    </w:p>
    <w:p>
      <w:pPr>
        <w:keepLines/>
        <w:keepNext/>
        <w:rPr>
          <w:sz w:val="26"/>
          <w:szCs w:val="26"/>
        </w:rPr>
      </w:pPr>
      <w:r>
        <w:rPr>
          <w:sz w:val="26"/>
          <w:szCs w:val="26"/>
        </w:rPr>
      </w:r>
      <w:r>
        <w:rPr>
          <w:sz w:val="26"/>
          <w:szCs w:val="26"/>
        </w:rPr>
      </w:r>
      <w:r>
        <w:rPr>
          <w:sz w:val="26"/>
          <w:szCs w:val="26"/>
        </w:rPr>
      </w:r>
    </w:p>
    <w:p>
      <w:pPr>
        <w:keepLines/>
        <w:keepNext/>
        <w:rPr>
          <w:sz w:val="26"/>
          <w:szCs w:val="26"/>
        </w:rPr>
      </w:pPr>
      <w:r>
        <w:rPr>
          <w:sz w:val="26"/>
          <w:szCs w:val="26"/>
        </w:rPr>
      </w:r>
      <w:r>
        <w:rPr>
          <w:sz w:val="26"/>
          <w:szCs w:val="26"/>
        </w:rPr>
      </w:r>
      <w:r>
        <w:rPr>
          <w:sz w:val="26"/>
          <w:szCs w:val="26"/>
        </w:rPr>
      </w:r>
    </w:p>
    <w:p>
      <w:pPr>
        <w:keepLines/>
        <w:keepNext/>
        <w:rPr>
          <w:sz w:val="26"/>
          <w:szCs w:val="26"/>
        </w:rPr>
      </w:pPr>
      <w:r>
        <w:rPr>
          <w:sz w:val="26"/>
          <w:szCs w:val="26"/>
        </w:rPr>
      </w:r>
      <w:r>
        <w:rPr>
          <w:sz w:val="26"/>
          <w:szCs w:val="26"/>
        </w:rPr>
      </w:r>
      <w:r>
        <w:rPr>
          <w:sz w:val="26"/>
          <w:szCs w:val="26"/>
        </w:rPr>
      </w:r>
    </w:p>
    <w:p>
      <w:pPr>
        <w:keepLines/>
        <w:keepNext/>
        <w:rPr>
          <w:sz w:val="26"/>
          <w:szCs w:val="26"/>
        </w:rPr>
      </w:pPr>
      <w:r>
        <w:rPr>
          <w:sz w:val="26"/>
          <w:szCs w:val="26"/>
        </w:rPr>
      </w:r>
      <w:r>
        <w:rPr>
          <w:sz w:val="26"/>
          <w:szCs w:val="26"/>
        </w:rPr>
      </w:r>
      <w:r>
        <w:rPr>
          <w:sz w:val="26"/>
          <w:szCs w:val="26"/>
        </w:rPr>
      </w:r>
    </w:p>
    <w:p>
      <w:pPr>
        <w:keepLines/>
        <w:keepNext/>
        <w:rPr>
          <w:sz w:val="26"/>
          <w:szCs w:val="26"/>
        </w:rPr>
      </w:pPr>
      <w:r>
        <w:rPr>
          <w:sz w:val="26"/>
          <w:szCs w:val="26"/>
        </w:rPr>
      </w:r>
      <w:r>
        <w:rPr>
          <w:sz w:val="26"/>
          <w:szCs w:val="26"/>
        </w:rPr>
      </w:r>
      <w:r>
        <w:rPr>
          <w:sz w:val="26"/>
          <w:szCs w:val="26"/>
        </w:rPr>
      </w:r>
    </w:p>
    <w:p>
      <w:pPr>
        <w:keepLines/>
        <w:keepNext/>
        <w:rPr>
          <w:sz w:val="26"/>
          <w:szCs w:val="26"/>
        </w:rPr>
      </w:pPr>
      <w:r>
        <w:rPr>
          <w:sz w:val="26"/>
          <w:szCs w:val="26"/>
        </w:rPr>
      </w:r>
      <w:r>
        <w:rPr>
          <w:sz w:val="26"/>
          <w:szCs w:val="26"/>
        </w:rPr>
      </w:r>
      <w:r>
        <w:rPr>
          <w:sz w:val="26"/>
          <w:szCs w:val="26"/>
        </w:rPr>
      </w:r>
    </w:p>
    <w:p>
      <w:pPr>
        <w:keepLines/>
        <w:keepNext/>
        <w:rPr>
          <w:sz w:val="26"/>
          <w:szCs w:val="26"/>
        </w:rPr>
      </w:pPr>
      <w:r>
        <w:rPr>
          <w:sz w:val="26"/>
          <w:szCs w:val="26"/>
        </w:rPr>
      </w:r>
      <w:r>
        <w:rPr>
          <w:sz w:val="26"/>
          <w:szCs w:val="26"/>
        </w:rPr>
      </w:r>
      <w:r>
        <w:rPr>
          <w:sz w:val="26"/>
          <w:szCs w:val="26"/>
        </w:rPr>
      </w:r>
    </w:p>
    <w:p>
      <w:pPr>
        <w:jc w:val="center"/>
        <w:keepLines/>
        <w:keepNext/>
        <w:rPr>
          <w:rFonts w:eastAsia="Calibri"/>
          <w:b/>
          <w:sz w:val="26"/>
          <w:szCs w:val="26"/>
        </w:rPr>
      </w:pPr>
      <w:r>
        <w:rPr>
          <w:rFonts w:eastAsia="Calibri"/>
          <w:b/>
          <w:sz w:val="26"/>
          <w:szCs w:val="26"/>
        </w:rPr>
      </w:r>
      <w:r>
        <w:rPr>
          <w:rFonts w:eastAsia="Calibri"/>
          <w:b/>
          <w:sz w:val="26"/>
          <w:szCs w:val="26"/>
        </w:rPr>
      </w:r>
      <w:r>
        <w:rPr>
          <w:rFonts w:eastAsia="Calibri"/>
          <w:b/>
          <w:sz w:val="26"/>
          <w:szCs w:val="26"/>
        </w:rPr>
      </w:r>
    </w:p>
    <w:p>
      <w:pPr>
        <w:jc w:val="center"/>
        <w:keepLines/>
        <w:keepNext/>
        <w:rPr>
          <w:rFonts w:eastAsia="Calibri"/>
          <w:b/>
          <w:sz w:val="26"/>
          <w:szCs w:val="26"/>
        </w:rPr>
      </w:pPr>
      <w:r>
        <w:rPr>
          <w:rFonts w:eastAsia="Calibri"/>
          <w:b/>
          <w:sz w:val="26"/>
          <w:szCs w:val="26"/>
        </w:rPr>
      </w:r>
      <w:r>
        <w:rPr>
          <w:rFonts w:eastAsia="Calibri"/>
          <w:b/>
          <w:sz w:val="26"/>
          <w:szCs w:val="26"/>
        </w:rPr>
      </w:r>
      <w:r>
        <w:rPr>
          <w:rFonts w:eastAsia="Calibri"/>
          <w:b/>
          <w:sz w:val="26"/>
          <w:szCs w:val="26"/>
        </w:rPr>
      </w:r>
    </w:p>
    <w:p>
      <w:pPr>
        <w:jc w:val="center"/>
        <w:keepLines/>
        <w:keepNext/>
        <w:rPr>
          <w:rFonts w:eastAsia="Calibri"/>
          <w:b/>
          <w:sz w:val="26"/>
          <w:szCs w:val="26"/>
        </w:rPr>
      </w:pPr>
      <w:r>
        <w:rPr>
          <w:rFonts w:eastAsia="Calibri"/>
          <w:b/>
          <w:sz w:val="26"/>
          <w:szCs w:val="26"/>
        </w:rPr>
      </w:r>
      <w:r>
        <w:rPr>
          <w:rFonts w:eastAsia="Calibri"/>
          <w:b/>
          <w:sz w:val="26"/>
          <w:szCs w:val="26"/>
        </w:rPr>
      </w:r>
      <w:r>
        <w:rPr>
          <w:rFonts w:eastAsia="Calibri"/>
          <w:b/>
          <w:sz w:val="26"/>
          <w:szCs w:val="26"/>
        </w:rPr>
      </w:r>
    </w:p>
    <w:p>
      <w:pPr>
        <w:jc w:val="center"/>
        <w:keepLines/>
        <w:keepNext/>
        <w:rPr>
          <w:rFonts w:eastAsia="Calibri"/>
          <w:b/>
          <w:sz w:val="26"/>
          <w:szCs w:val="26"/>
        </w:rPr>
      </w:pPr>
      <w:r>
        <w:rPr>
          <w:rFonts w:eastAsia="Calibri"/>
          <w:b/>
          <w:sz w:val="26"/>
          <w:szCs w:val="26"/>
        </w:rPr>
      </w:r>
      <w:r>
        <w:rPr>
          <w:rFonts w:eastAsia="Calibri"/>
          <w:b/>
          <w:sz w:val="26"/>
          <w:szCs w:val="26"/>
        </w:rPr>
      </w:r>
      <w:r>
        <w:rPr>
          <w:rFonts w:eastAsia="Calibri"/>
          <w:b/>
          <w:sz w:val="26"/>
          <w:szCs w:val="26"/>
        </w:rPr>
      </w:r>
    </w:p>
    <w:p>
      <w:pPr>
        <w:jc w:val="center"/>
        <w:keepLines/>
        <w:keepNext/>
        <w:rPr>
          <w:rFonts w:eastAsia="Calibri"/>
          <w:b/>
          <w:sz w:val="26"/>
          <w:szCs w:val="26"/>
        </w:rPr>
      </w:pPr>
      <w:r>
        <w:rPr>
          <w:rFonts w:eastAsia="Calibri"/>
          <w:b/>
          <w:sz w:val="26"/>
          <w:szCs w:val="26"/>
        </w:rPr>
      </w:r>
      <w:r>
        <w:rPr>
          <w:rFonts w:eastAsia="Calibri"/>
          <w:b/>
          <w:sz w:val="26"/>
          <w:szCs w:val="26"/>
        </w:rPr>
      </w:r>
      <w:r>
        <w:rPr>
          <w:rFonts w:eastAsia="Calibri"/>
          <w:b/>
          <w:sz w:val="26"/>
          <w:szCs w:val="26"/>
        </w:rPr>
      </w:r>
    </w:p>
    <w:p>
      <w:pPr>
        <w:jc w:val="center"/>
        <w:keepLines/>
        <w:keepNext/>
        <w:rPr>
          <w:rFonts w:eastAsia="Calibri"/>
          <w:b/>
          <w:sz w:val="26"/>
          <w:szCs w:val="26"/>
        </w:rPr>
      </w:pPr>
      <w:r>
        <w:rPr>
          <w:rFonts w:eastAsia="Calibri"/>
          <w:b/>
          <w:sz w:val="26"/>
          <w:szCs w:val="26"/>
        </w:rPr>
      </w:r>
      <w:r>
        <w:rPr>
          <w:rFonts w:eastAsia="Calibri"/>
          <w:b/>
          <w:sz w:val="26"/>
          <w:szCs w:val="26"/>
        </w:rPr>
      </w:r>
      <w:r>
        <w:rPr>
          <w:rFonts w:eastAsia="Calibri"/>
          <w:b/>
          <w:sz w:val="26"/>
          <w:szCs w:val="26"/>
        </w:rPr>
      </w:r>
    </w:p>
    <w:p>
      <w:pPr>
        <w:jc w:val="center"/>
        <w:keepLines/>
        <w:keepNext/>
        <w:rPr>
          <w:rFonts w:eastAsia="Calibri"/>
          <w:b/>
          <w:sz w:val="26"/>
          <w:szCs w:val="26"/>
        </w:rPr>
      </w:pPr>
      <w:r>
        <w:rPr>
          <w:rFonts w:eastAsia="Calibri"/>
          <w:b/>
          <w:sz w:val="26"/>
          <w:szCs w:val="26"/>
        </w:rPr>
      </w:r>
      <w:r>
        <w:rPr>
          <w:rFonts w:eastAsia="Calibri"/>
          <w:b/>
          <w:sz w:val="26"/>
          <w:szCs w:val="26"/>
        </w:rPr>
      </w:r>
      <w:r>
        <w:rPr>
          <w:rFonts w:eastAsia="Calibri"/>
          <w:b/>
          <w:sz w:val="26"/>
          <w:szCs w:val="26"/>
        </w:rPr>
      </w:r>
    </w:p>
    <w:p>
      <w:pPr>
        <w:jc w:val="center"/>
        <w:keepLines/>
        <w:keepNext/>
        <w:rPr>
          <w:rFonts w:eastAsia="Calibri"/>
          <w:b/>
          <w:sz w:val="26"/>
          <w:szCs w:val="26"/>
        </w:rPr>
      </w:pPr>
      <w:r>
        <w:rPr>
          <w:rFonts w:eastAsia="Calibri"/>
          <w:b/>
          <w:sz w:val="26"/>
          <w:szCs w:val="26"/>
        </w:rPr>
        <w:t xml:space="preserve">Технические требования на выполнение работ</w:t>
      </w:r>
      <w:r>
        <w:rPr>
          <w:rFonts w:eastAsia="Calibri"/>
          <w:b/>
          <w:sz w:val="26"/>
          <w:szCs w:val="26"/>
        </w:rPr>
      </w:r>
      <w:r>
        <w:rPr>
          <w:rFonts w:eastAsia="Calibri"/>
          <w:b/>
          <w:sz w:val="26"/>
          <w:szCs w:val="26"/>
        </w:rPr>
      </w:r>
    </w:p>
    <w:p>
      <w:pPr>
        <w:jc w:val="center"/>
        <w:keepLines/>
        <w:keepNext/>
        <w:rPr>
          <w:rFonts w:eastAsia="Calibri"/>
          <w:b/>
          <w:sz w:val="26"/>
          <w:szCs w:val="26"/>
        </w:rPr>
      </w:pPr>
      <w:r>
        <w:rPr>
          <w:rFonts w:eastAsia="Calibri"/>
          <w:b/>
          <w:sz w:val="26"/>
          <w:szCs w:val="26"/>
        </w:rPr>
      </w:r>
      <w:r>
        <w:rPr>
          <w:rFonts w:eastAsia="Calibri"/>
          <w:b/>
          <w:sz w:val="26"/>
          <w:szCs w:val="26"/>
        </w:rPr>
      </w:r>
      <w:r>
        <w:rPr>
          <w:rFonts w:eastAsia="Calibri"/>
          <w:b/>
          <w:sz w:val="26"/>
          <w:szCs w:val="26"/>
        </w:rPr>
      </w:r>
    </w:p>
    <w:p>
      <w:pPr>
        <w:jc w:val="center"/>
        <w:keepLines/>
        <w:keepNext/>
        <w:rPr>
          <w:rFonts w:eastAsia="Calibri"/>
          <w:b/>
          <w:sz w:val="26"/>
          <w:szCs w:val="26"/>
          <w:highlight w:val="white"/>
        </w:rPr>
      </w:pPr>
      <w:r>
        <w:rPr>
          <w:rFonts w:eastAsia="Calibri"/>
          <w:b/>
          <w:sz w:val="26"/>
          <w:szCs w:val="26"/>
          <w:highlight w:val="white"/>
        </w:rPr>
      </w:r>
      <w:r>
        <w:rPr>
          <w:rFonts w:eastAsia="Calibri"/>
          <w:b/>
          <w:sz w:val="26"/>
          <w:szCs w:val="26"/>
          <w:highlight w:val="white"/>
        </w:rPr>
      </w:r>
      <w:r>
        <w:rPr>
          <w:rFonts w:eastAsia="Calibri"/>
          <w:b/>
          <w:sz w:val="26"/>
          <w:szCs w:val="26"/>
          <w:highlight w:val="white"/>
        </w:rPr>
      </w:r>
    </w:p>
    <w:p>
      <w:pPr>
        <w:jc w:val="center"/>
        <w:keepLines/>
        <w:keepNext/>
        <w:rPr>
          <w:rFonts w:eastAsia="Calibri"/>
          <w:sz w:val="26"/>
          <w:szCs w:val="26"/>
          <w:highlight w:val="white"/>
        </w:rPr>
      </w:pPr>
      <w:r>
        <w:rPr>
          <w:rFonts w:eastAsia="Calibri"/>
          <w:sz w:val="26"/>
          <w:szCs w:val="26"/>
          <w:highlight w:val="white"/>
        </w:rPr>
      </w:r>
      <w:r>
        <w:rPr>
          <w:rFonts w:eastAsia="Calibri"/>
          <w:sz w:val="26"/>
          <w:szCs w:val="26"/>
        </w:rPr>
        <w:t xml:space="preserve">О</w:t>
      </w:r>
      <w:r>
        <w:rPr>
          <w:rFonts w:eastAsia="Calibri"/>
          <w:sz w:val="26"/>
          <w:szCs w:val="26"/>
        </w:rPr>
        <w:t xml:space="preserve">КПД2 42.21.22.120 Выполнение работ по капитальному ремонту тепловой сети №01-33 ТК23 - ЦТП «Детская больница» по ул. Фрунзе – ул. Ключевая г. Артем, Приморский край  по реализации пилотного проекта по внедрению стеклопластиковой трубы на сетях ПТС, для При</w:t>
      </w:r>
      <w:r>
        <w:rPr>
          <w:rFonts w:eastAsia="Calibri"/>
          <w:sz w:val="26"/>
          <w:szCs w:val="26"/>
        </w:rPr>
        <w:t xml:space="preserve">морских тепловых сетей</w:t>
      </w:r>
      <w:r>
        <w:rPr>
          <w:rFonts w:eastAsia="Calibri"/>
          <w:sz w:val="26"/>
          <w:szCs w:val="26"/>
          <w:highlight w:val="white"/>
        </w:rPr>
      </w:r>
      <w:r>
        <w:rPr>
          <w:rFonts w:eastAsia="Calibri"/>
          <w:sz w:val="26"/>
          <w:szCs w:val="26"/>
          <w:highlight w:val="white"/>
        </w:rPr>
      </w:r>
    </w:p>
    <w:p>
      <w:pPr>
        <w:jc w:val="center"/>
        <w:keepLines/>
        <w:keepNext/>
        <w:rPr>
          <w:rFonts w:eastAsia="Calibri"/>
          <w:b/>
          <w:sz w:val="26"/>
          <w:szCs w:val="26"/>
        </w:rPr>
      </w:pPr>
      <w:r>
        <w:rPr>
          <w:rFonts w:eastAsia="Calibri"/>
          <w:b/>
          <w:sz w:val="26"/>
          <w:szCs w:val="26"/>
        </w:rPr>
        <w:t xml:space="preserve">Лот №11037010</w:t>
      </w:r>
      <w:r>
        <w:rPr>
          <w:rFonts w:eastAsia="Calibri"/>
          <w:b/>
          <w:sz w:val="26"/>
          <w:szCs w:val="26"/>
        </w:rPr>
        <w:t xml:space="preserve">-РЕМ ПРОД-2026-ДГК-ПТС</w:t>
      </w:r>
      <w:r>
        <w:rPr>
          <w:rFonts w:eastAsia="Calibri"/>
          <w:b/>
          <w:sz w:val="26"/>
          <w:szCs w:val="26"/>
        </w:rPr>
      </w:r>
      <w:r>
        <w:rPr>
          <w:rFonts w:eastAsia="Calibri"/>
          <w:b/>
          <w:sz w:val="26"/>
          <w:szCs w:val="26"/>
        </w:rPr>
      </w:r>
    </w:p>
    <w:p>
      <w:pPr>
        <w:jc w:val="center"/>
        <w:keepLines/>
        <w:keepNext/>
        <w:rPr>
          <w:rFonts w:eastAsia="Calibri"/>
          <w:b/>
          <w:sz w:val="26"/>
          <w:szCs w:val="26"/>
        </w:rPr>
      </w:pPr>
      <w:r>
        <w:rPr>
          <w:rFonts w:eastAsia="Calibri"/>
          <w:b/>
          <w:sz w:val="26"/>
          <w:szCs w:val="26"/>
        </w:rPr>
        <w:br w:type="page" w:clear="all"/>
      </w:r>
      <w:r>
        <w:rPr>
          <w:rFonts w:eastAsia="Calibri"/>
          <w:b/>
          <w:sz w:val="26"/>
          <w:szCs w:val="26"/>
        </w:rPr>
      </w:r>
      <w:r>
        <w:rPr>
          <w:rFonts w:eastAsia="Calibri"/>
          <w:b/>
          <w:sz w:val="26"/>
          <w:szCs w:val="26"/>
        </w:rPr>
      </w:r>
    </w:p>
    <w:p>
      <w:pPr>
        <w:jc w:val="center"/>
        <w:rPr>
          <w:b/>
        </w:rPr>
      </w:pPr>
      <w:r>
        <w:rPr>
          <w:b/>
        </w:rPr>
        <w:t xml:space="preserve">СОДЕРЖАНИЕ</w:t>
      </w:r>
      <w:r>
        <w:rPr>
          <w:b/>
        </w:rPr>
      </w:r>
      <w:r>
        <w:rPr>
          <w:b/>
        </w:rPr>
      </w:r>
    </w:p>
    <w:sdt>
      <w:sdtPr>
        <w15:appearance w15:val="boundingBox"/>
        <w:docPartObj>
          <w:docPartGallery w:val="Table of Contents"/>
          <w:docPartUnique w:val="true"/>
        </w:docPartObj>
        <w:rPr/>
      </w:sdtPr>
      <w:sdtContent>
        <w:p>
          <w:r>
            <w:fldChar w:fldCharType="begin"/>
          </w:r>
          <w:r>
            <w:instrText xml:space="preserve"> TOC \h \f \u \o </w:instrText>
          </w:r>
          <w:r>
            <w:fldChar w:fldCharType="separate"/>
          </w:r>
          <w:r/>
        </w:p>
        <w:p>
          <w:pPr>
            <w:pStyle w:val="1033"/>
            <w:tabs>
              <w:tab w:val="left" w:pos="566" w:leader="none"/>
              <w:tab w:val="right" w:pos="9909" w:leader="dot"/>
            </w:tabs>
          </w:pPr>
          <w:r/>
          <w:hyperlink w:tooltip="#_Toc54646395" w:anchor="_Toc54646395" w:history="1">
            <w:r>
              <w:rPr>
                <w:rStyle w:val="1035"/>
              </w:rPr>
            </w:r>
            <w:r>
              <w:rPr>
                <w:rStyle w:val="1035"/>
                <w:rFonts w:ascii="Times New Roman" w:hAnsi="Times New Roman" w:cs="Times New Roman"/>
                <w:sz w:val="24"/>
              </w:rPr>
              <w:t xml:space="preserve">1.</w:t>
            </w:r>
            <w:r>
              <w:rPr>
                <w:rStyle w:val="1035"/>
                <w:rFonts w:ascii="Times New Roman" w:hAnsi="Times New Roman" w:cs="Times New Roman"/>
                <w:b w:val="0"/>
                <w:sz w:val="24"/>
              </w:rPr>
              <w:tab/>
            </w:r>
            <w:r>
              <w:rPr>
                <w:rStyle w:val="1035"/>
                <w:rFonts w:ascii="Times New Roman" w:hAnsi="Times New Roman" w:cs="Times New Roman"/>
                <w:sz w:val="24"/>
              </w:rPr>
              <w:t xml:space="preserve">Общие сведения</w:t>
              <w:tab/>
              <w:t xml:space="preserve">3</w:t>
            </w:r>
          </w:hyperlink>
          <w:r/>
          <w:r/>
        </w:p>
        <w:p>
          <w:pPr>
            <w:pStyle w:val="1036"/>
            <w:tabs>
              <w:tab w:val="left" w:pos="2240" w:leader="none"/>
              <w:tab w:val="right" w:pos="11030" w:leader="dot"/>
            </w:tabs>
          </w:pPr>
          <w:r/>
          <w:hyperlink w:tooltip="#_Toc54646396" w:anchor="_Toc54646396" w:history="1">
            <w:r>
              <w:rPr>
                <w:rStyle w:val="1035"/>
              </w:rPr>
            </w:r>
            <w:r>
              <w:rPr>
                <w:rStyle w:val="1035"/>
                <w:rFonts w:ascii="Times New Roman" w:hAnsi="Times New Roman" w:cs="Times New Roman"/>
                <w:sz w:val="24"/>
              </w:rPr>
              <w:t xml:space="preserve">1.1.</w:t>
            </w:r>
            <w:r>
              <w:rPr>
                <w:rStyle w:val="1035"/>
                <w:rFonts w:ascii="Times New Roman" w:hAnsi="Times New Roman" w:cs="Times New Roman"/>
                <w:sz w:val="24"/>
              </w:rPr>
              <w:tab/>
            </w:r>
            <w:r>
              <w:rPr>
                <w:rStyle w:val="1035"/>
                <w:rFonts w:ascii="Times New Roman" w:hAnsi="Times New Roman" w:cs="Times New Roman"/>
                <w:sz w:val="24"/>
              </w:rPr>
              <w:t xml:space="preserve">Обозначения и сокращения</w:t>
              <w:tab/>
              <w:t xml:space="preserve">3</w:t>
            </w:r>
          </w:hyperlink>
          <w:r/>
          <w:r/>
        </w:p>
        <w:p>
          <w:pPr>
            <w:pStyle w:val="1036"/>
            <w:tabs>
              <w:tab w:val="left" w:pos="2240" w:leader="none"/>
              <w:tab w:val="right" w:pos="11030" w:leader="dot"/>
            </w:tabs>
          </w:pPr>
          <w:r/>
          <w:hyperlink w:tooltip="#_Toc54646397" w:anchor="_Toc54646397" w:history="1">
            <w:r>
              <w:rPr>
                <w:rStyle w:val="1035"/>
              </w:rPr>
            </w:r>
            <w:r>
              <w:rPr>
                <w:rStyle w:val="1035"/>
                <w:rFonts w:ascii="Times New Roman" w:hAnsi="Times New Roman" w:cs="Times New Roman"/>
                <w:sz w:val="24"/>
              </w:rPr>
              <w:t xml:space="preserve">1.2.</w:t>
            </w:r>
            <w:r>
              <w:rPr>
                <w:rStyle w:val="1035"/>
                <w:rFonts w:ascii="Times New Roman" w:hAnsi="Times New Roman" w:cs="Times New Roman"/>
                <w:sz w:val="24"/>
              </w:rPr>
              <w:tab/>
            </w:r>
            <w:r>
              <w:rPr>
                <w:rStyle w:val="1035"/>
                <w:rFonts w:ascii="Times New Roman" w:hAnsi="Times New Roman" w:cs="Times New Roman"/>
                <w:sz w:val="24"/>
              </w:rPr>
              <w:t xml:space="preserve">Наименование закупаемой продукции</w:t>
              <w:tab/>
              <w:t xml:space="preserve">4</w:t>
            </w:r>
          </w:hyperlink>
          <w:r/>
          <w:r/>
        </w:p>
        <w:p>
          <w:pPr>
            <w:pStyle w:val="1036"/>
            <w:tabs>
              <w:tab w:val="left" w:pos="2240" w:leader="none"/>
              <w:tab w:val="right" w:pos="11030" w:leader="dot"/>
            </w:tabs>
          </w:pPr>
          <w:r/>
          <w:hyperlink w:tooltip="#_Toc54646398" w:anchor="_Toc54646398" w:history="1">
            <w:r>
              <w:rPr>
                <w:rStyle w:val="1035"/>
              </w:rPr>
            </w:r>
            <w:r>
              <w:rPr>
                <w:rStyle w:val="1035"/>
                <w:rFonts w:ascii="Times New Roman" w:hAnsi="Times New Roman" w:cs="Times New Roman"/>
                <w:sz w:val="24"/>
              </w:rPr>
              <w:t xml:space="preserve">1.3.</w:t>
            </w:r>
            <w:r>
              <w:rPr>
                <w:rStyle w:val="1035"/>
                <w:rFonts w:ascii="Times New Roman" w:hAnsi="Times New Roman" w:cs="Times New Roman"/>
                <w:sz w:val="24"/>
              </w:rPr>
              <w:tab/>
            </w:r>
            <w:r>
              <w:rPr>
                <w:rStyle w:val="1035"/>
                <w:rFonts w:ascii="Times New Roman" w:hAnsi="Times New Roman" w:cs="Times New Roman"/>
                <w:sz w:val="24"/>
              </w:rPr>
              <w:t xml:space="preserve">Цель выполнения работ </w:t>
              <w:tab/>
              <w:t xml:space="preserve">4</w:t>
            </w:r>
          </w:hyperlink>
          <w:r/>
          <w:r/>
        </w:p>
        <w:p>
          <w:pPr>
            <w:pStyle w:val="1033"/>
            <w:ind w:left="0" w:right="0" w:firstLine="567"/>
            <w:tabs>
              <w:tab w:val="right" w:pos="9909" w:leader="dot"/>
            </w:tabs>
          </w:pPr>
          <w:r/>
          <w:hyperlink w:tooltip="#_Toc54646400" w:anchor="_Toc54646400" w:history="1">
            <w:r>
              <w:rPr>
                <w:rStyle w:val="1035"/>
              </w:rPr>
            </w:r>
            <w:r>
              <w:rPr>
                <w:rStyle w:val="1035"/>
                <w:rFonts w:ascii="Times New Roman" w:hAnsi="Times New Roman" w:cs="Times New Roman"/>
                <w:sz w:val="24"/>
              </w:rPr>
              <w:t xml:space="preserve">Таблица 1. Перечень объектов заказчика</w:t>
              <w:tab/>
              <w:t xml:space="preserve">4</w:t>
            </w:r>
          </w:hyperlink>
          <w:r/>
          <w:r/>
        </w:p>
        <w:p>
          <w:pPr>
            <w:pStyle w:val="1034"/>
            <w:ind w:left="0" w:right="0" w:firstLine="567"/>
            <w:jc w:val="both"/>
          </w:pPr>
          <w:r>
            <w:rPr>
              <w:rFonts w:ascii="Times New Roman" w:hAnsi="Times New Roman" w:cs="Times New Roman"/>
              <w:sz w:val="24"/>
            </w:rPr>
            <w:t xml:space="preserve">1.4.</w:t>
            <w:tab/>
            <w:t xml:space="preserve">Информация в отношении исполнения договора, которая должна быть учтена при подготовке заявки  (в том числе перечень ресурсов, услуг и документов, предоставляемых заказчиком на этапе исполнения договора……………………………………………………   ……4</w:t>
          </w:r>
          <w:r/>
        </w:p>
        <w:p>
          <w:pPr>
            <w:pStyle w:val="1034"/>
            <w:ind w:left="0" w:right="0" w:firstLine="567"/>
          </w:pPr>
          <w:r>
            <w:rPr>
              <w:rFonts w:ascii="Times New Roman" w:hAnsi="Times New Roman" w:cs="Times New Roman"/>
              <w:sz w:val="24"/>
            </w:rPr>
            <w:t xml:space="preserve">1.4.1 Заказчик предоставит Подрядчику:                                                                                    4</w:t>
          </w:r>
          <w:r/>
        </w:p>
        <w:p>
          <w:pPr>
            <w:pStyle w:val="1034"/>
            <w:ind w:left="0" w:right="0" w:firstLine="567"/>
          </w:pPr>
          <w:r>
            <w:rPr>
              <w:rFonts w:ascii="Times New Roman" w:hAnsi="Times New Roman" w:cs="Times New Roman"/>
              <w:sz w:val="24"/>
            </w:rPr>
            <w:t xml:space="preserve">1.5.</w:t>
            <w:tab/>
            <w:t xml:space="preserve">Иные требования и сведения общего характер............................................................4</w:t>
          </w:r>
          <w:r/>
        </w:p>
        <w:p>
          <w:pPr>
            <w:pStyle w:val="1033"/>
            <w:tabs>
              <w:tab w:val="left" w:pos="566" w:leader="none"/>
              <w:tab w:val="right" w:pos="9778" w:leader="dot"/>
            </w:tabs>
          </w:pPr>
          <w:r/>
          <w:hyperlink w:tooltip="#_Toc54646403" w:anchor="_Toc54646403" w:history="1">
            <w:r>
              <w:rPr>
                <w:rStyle w:val="1035"/>
              </w:rPr>
            </w:r>
            <w:r>
              <w:rPr>
                <w:rStyle w:val="1035"/>
                <w:rFonts w:ascii="Times New Roman" w:hAnsi="Times New Roman" w:cs="Times New Roman"/>
                <w:sz w:val="24"/>
              </w:rPr>
              <w:t xml:space="preserve">2.</w:t>
            </w:r>
            <w:r>
              <w:rPr>
                <w:rStyle w:val="1035"/>
                <w:rFonts w:ascii="Times New Roman" w:hAnsi="Times New Roman" w:cs="Times New Roman"/>
                <w:b w:val="0"/>
                <w:sz w:val="24"/>
              </w:rPr>
              <w:tab/>
            </w:r>
            <w:r>
              <w:rPr>
                <w:rStyle w:val="1035"/>
                <w:rFonts w:ascii="Times New Roman" w:hAnsi="Times New Roman" w:cs="Times New Roman"/>
                <w:sz w:val="24"/>
              </w:rPr>
              <w:t xml:space="preserve">Требования к продукции</w:t>
            </w:r>
            <w:r>
              <w:rPr>
                <w:rStyle w:val="1035"/>
                <w:rFonts w:ascii="Times New Roman" w:hAnsi="Times New Roman" w:cs="Times New Roman"/>
                <w:sz w:val="24"/>
              </w:rPr>
              <w:tab/>
            </w:r>
          </w:hyperlink>
          <w:r>
            <w:rPr>
              <w:rFonts w:ascii="Times New Roman" w:hAnsi="Times New Roman" w:cs="Times New Roman"/>
              <w:b/>
              <w:sz w:val="24"/>
            </w:rPr>
            <w:t xml:space="preserve">5</w:t>
          </w:r>
          <w:r/>
        </w:p>
        <w:p>
          <w:pPr>
            <w:pStyle w:val="1036"/>
            <w:tabs>
              <w:tab w:val="left" w:pos="2240" w:leader="none"/>
              <w:tab w:val="right" w:pos="11030" w:leader="dot"/>
            </w:tabs>
          </w:pPr>
          <w:r/>
          <w:hyperlink w:tooltip="#_Toc54646404" w:anchor="_Toc54646404" w:history="1">
            <w:r>
              <w:rPr>
                <w:rStyle w:val="1035"/>
              </w:rPr>
            </w:r>
            <w:r>
              <w:rPr>
                <w:rStyle w:val="1035"/>
                <w:rFonts w:ascii="Times New Roman" w:hAnsi="Times New Roman" w:cs="Times New Roman"/>
                <w:sz w:val="24"/>
              </w:rPr>
              <w:t xml:space="preserve">2.1.</w:t>
            </w:r>
            <w:r>
              <w:rPr>
                <w:rStyle w:val="1035"/>
                <w:rFonts w:ascii="Times New Roman" w:hAnsi="Times New Roman" w:cs="Times New Roman"/>
                <w:sz w:val="24"/>
              </w:rPr>
              <w:tab/>
            </w:r>
            <w:r>
              <w:rPr>
                <w:rStyle w:val="1035"/>
                <w:rFonts w:ascii="Times New Roman" w:hAnsi="Times New Roman" w:cs="Times New Roman"/>
                <w:sz w:val="24"/>
              </w:rPr>
              <w:t xml:space="preserve">Требования к объемам и срокам выполнения работ</w:t>
              <w:tab/>
            </w:r>
          </w:hyperlink>
          <w:r>
            <w:rPr>
              <w:rFonts w:ascii="Times New Roman" w:hAnsi="Times New Roman" w:cs="Times New Roman"/>
              <w:sz w:val="24"/>
            </w:rPr>
            <w:t xml:space="preserve">5</w:t>
          </w:r>
          <w:r/>
        </w:p>
        <w:p>
          <w:pPr>
            <w:pStyle w:val="1033"/>
            <w:ind w:left="0" w:right="0" w:firstLine="567"/>
            <w:tabs>
              <w:tab w:val="right" w:pos="9909" w:leader="dot"/>
            </w:tabs>
          </w:pPr>
          <w:r/>
          <w:hyperlink w:tooltip="#_Toc54646406" w:anchor="_Toc54646406" w:history="1">
            <w:r>
              <w:rPr>
                <w:rStyle w:val="1035"/>
              </w:rPr>
            </w:r>
            <w:r>
              <w:rPr>
                <w:rStyle w:val="1035"/>
                <w:rFonts w:ascii="Times New Roman" w:hAnsi="Times New Roman" w:cs="Times New Roman"/>
                <w:sz w:val="24"/>
              </w:rPr>
              <w:t xml:space="preserve">Таблица 2. Перечень и объем выполняемых работ</w:t>
              <w:tab/>
            </w:r>
          </w:hyperlink>
          <w:r>
            <w:rPr>
              <w:rFonts w:ascii="Times New Roman" w:hAnsi="Times New Roman" w:cs="Times New Roman"/>
              <w:b/>
              <w:sz w:val="24"/>
            </w:rPr>
            <w:t xml:space="preserve">5</w:t>
          </w:r>
          <w:r/>
        </w:p>
        <w:p>
          <w:pPr>
            <w:pStyle w:val="1033"/>
            <w:ind w:left="0" w:right="0" w:firstLine="567"/>
            <w:tabs>
              <w:tab w:val="right" w:pos="9909" w:leader="dot"/>
            </w:tabs>
          </w:pPr>
          <w:r/>
          <w:hyperlink w:tooltip="#_Toc54646408" w:anchor="_Toc54646408" w:history="1">
            <w:r>
              <w:rPr>
                <w:rStyle w:val="1035"/>
              </w:rPr>
            </w:r>
            <w:r>
              <w:rPr>
                <w:rStyle w:val="1035"/>
                <w:rFonts w:ascii="Times New Roman" w:hAnsi="Times New Roman" w:cs="Times New Roman"/>
                <w:sz w:val="24"/>
              </w:rPr>
              <w:t xml:space="preserve">Таблица 3. Требования по срокам выполнения работ</w:t>
              <w:tab/>
            </w:r>
          </w:hyperlink>
          <w:r>
            <w:rPr>
              <w:rFonts w:ascii="Times New Roman" w:hAnsi="Times New Roman" w:cs="Times New Roman"/>
              <w:b/>
              <w:sz w:val="24"/>
            </w:rPr>
            <w:t xml:space="preserve">5</w:t>
          </w:r>
          <w:r/>
        </w:p>
        <w:p>
          <w:pPr>
            <w:pStyle w:val="1036"/>
            <w:tabs>
              <w:tab w:val="left" w:pos="2240" w:leader="none"/>
              <w:tab w:val="right" w:pos="11030" w:leader="dot"/>
            </w:tabs>
          </w:pPr>
          <w:r/>
          <w:hyperlink w:tooltip="#_Toc54646409" w:anchor="_Toc54646409" w:history="1">
            <w:r>
              <w:rPr>
                <w:rStyle w:val="1035"/>
              </w:rPr>
            </w:r>
            <w:r>
              <w:rPr>
                <w:rStyle w:val="1035"/>
                <w:rFonts w:ascii="Times New Roman" w:hAnsi="Times New Roman" w:cs="Times New Roman"/>
                <w:sz w:val="24"/>
              </w:rPr>
              <w:t xml:space="preserve">2.2.</w:t>
            </w:r>
            <w:r>
              <w:rPr>
                <w:rStyle w:val="1035"/>
                <w:rFonts w:ascii="Times New Roman" w:hAnsi="Times New Roman" w:cs="Times New Roman"/>
                <w:sz w:val="24"/>
              </w:rPr>
              <w:tab/>
            </w:r>
            <w:r>
              <w:rPr>
                <w:rStyle w:val="1035"/>
                <w:rFonts w:ascii="Times New Roman" w:hAnsi="Times New Roman" w:cs="Times New Roman"/>
                <w:sz w:val="24"/>
              </w:rPr>
              <w:t xml:space="preserve">Требования к качеству работ</w:t>
              <w:tab/>
              <w:t xml:space="preserve">6</w:t>
            </w:r>
          </w:hyperlink>
          <w:r/>
          <w:r/>
        </w:p>
        <w:p>
          <w:pPr>
            <w:pStyle w:val="1033"/>
            <w:ind w:left="0" w:right="0" w:firstLine="567"/>
            <w:tabs>
              <w:tab w:val="right" w:pos="9909" w:leader="dot"/>
            </w:tabs>
          </w:pPr>
          <w:r/>
          <w:hyperlink w:tooltip="#_Toc54646410" w:anchor="_Toc54646410" w:history="1">
            <w:r>
              <w:rPr>
                <w:rStyle w:val="1035"/>
              </w:rPr>
            </w:r>
            <w:r>
              <w:rPr>
                <w:rStyle w:val="1035"/>
                <w:rFonts w:ascii="Times New Roman" w:hAnsi="Times New Roman" w:cs="Times New Roman"/>
                <w:sz w:val="24"/>
              </w:rPr>
              <w:t xml:space="preserve">Таблица 4. Требования к качеству работ</w:t>
              <w:tab/>
            </w:r>
          </w:hyperlink>
          <w:r>
            <w:t xml:space="preserve">7</w:t>
          </w:r>
          <w:r/>
        </w:p>
        <w:p>
          <w:pPr>
            <w:pStyle w:val="1033"/>
            <w:tabs>
              <w:tab w:val="left" w:pos="566" w:leader="none"/>
              <w:tab w:val="right" w:pos="9909" w:leader="dot"/>
            </w:tabs>
          </w:pPr>
          <w:r/>
          <w:hyperlink w:tooltip="#_Toc54646411" w:anchor="_Toc54646411" w:history="1">
            <w:r>
              <w:rPr>
                <w:rStyle w:val="1035"/>
              </w:rPr>
            </w:r>
            <w:r>
              <w:rPr>
                <w:rStyle w:val="1035"/>
                <w:rFonts w:ascii="Times New Roman" w:hAnsi="Times New Roman" w:cs="Times New Roman"/>
                <w:sz w:val="24"/>
              </w:rPr>
              <w:t xml:space="preserve">3.</w:t>
            </w:r>
            <w:r>
              <w:rPr>
                <w:rStyle w:val="1035"/>
                <w:rFonts w:ascii="Times New Roman" w:hAnsi="Times New Roman" w:cs="Times New Roman"/>
                <w:b w:val="0"/>
                <w:sz w:val="24"/>
              </w:rPr>
              <w:tab/>
            </w:r>
            <w:r>
              <w:rPr>
                <w:rStyle w:val="1035"/>
                <w:rFonts w:ascii="Times New Roman" w:hAnsi="Times New Roman" w:cs="Times New Roman"/>
                <w:sz w:val="24"/>
              </w:rPr>
              <w:t xml:space="preserve">Требования к документации по ценообразованию на этапе закупки</w:t>
              <w:tab/>
            </w:r>
          </w:hyperlink>
          <w:r>
            <w:rPr>
              <w:rFonts w:ascii="Times New Roman" w:hAnsi="Times New Roman" w:cs="Times New Roman"/>
              <w:b/>
              <w:sz w:val="24"/>
            </w:rPr>
            <w:t xml:space="preserve">21</w:t>
          </w:r>
          <w:r/>
        </w:p>
        <w:p>
          <w:pPr>
            <w:pStyle w:val="1033"/>
            <w:tabs>
              <w:tab w:val="left" w:pos="566" w:leader="none"/>
              <w:tab w:val="right" w:pos="9909" w:leader="dot"/>
            </w:tabs>
          </w:pPr>
          <w:r/>
          <w:hyperlink w:tooltip="#_Toc54646412" w:anchor="_Toc54646412" w:history="1">
            <w:r>
              <w:rPr>
                <w:rStyle w:val="1035"/>
              </w:rPr>
            </w:r>
            <w:r>
              <w:rPr>
                <w:rStyle w:val="1035"/>
                <w:rFonts w:ascii="Times New Roman" w:hAnsi="Times New Roman" w:cs="Times New Roman"/>
                <w:sz w:val="24"/>
              </w:rPr>
              <w:t xml:space="preserve">4.</w:t>
            </w:r>
            <w:r>
              <w:rPr>
                <w:rStyle w:val="1035"/>
                <w:rFonts w:ascii="Times New Roman" w:hAnsi="Times New Roman" w:cs="Times New Roman"/>
                <w:b w:val="0"/>
                <w:sz w:val="24"/>
              </w:rPr>
              <w:tab/>
            </w:r>
            <w:r>
              <w:rPr>
                <w:rStyle w:val="1035"/>
                <w:rFonts w:ascii="Times New Roman" w:hAnsi="Times New Roman" w:cs="Times New Roman"/>
                <w:sz w:val="24"/>
              </w:rPr>
              <w:t xml:space="preserve">Требования к документации по ценообразованию на этапе заключения (исполнения) договора</w:t>
              <w:tab/>
              <w:t xml:space="preserve">2</w:t>
            </w:r>
          </w:hyperlink>
          <w:r>
            <w:rPr>
              <w:rFonts w:ascii="Times New Roman" w:hAnsi="Times New Roman" w:cs="Times New Roman"/>
              <w:b w:val="0"/>
              <w:sz w:val="24"/>
            </w:rPr>
            <w:t xml:space="preserve">1</w:t>
          </w:r>
          <w:r/>
        </w:p>
        <w:p>
          <w:pPr>
            <w:pStyle w:val="1034"/>
            <w:rPr>
              <w:rFonts w:ascii="Times New Roman" w:hAnsi="Times New Roman" w:cs="Times New Roman"/>
              <w:b/>
              <w:bCs/>
              <w:sz w:val="24"/>
              <w:szCs w:val="24"/>
              <w:highlight w:val="none"/>
            </w:rPr>
          </w:pPr>
          <w:r>
            <w:rPr>
              <w:rFonts w:ascii="Times New Roman" w:hAnsi="Times New Roman" w:cs="Times New Roman"/>
              <w:b/>
              <w:sz w:val="24"/>
            </w:rPr>
            <w:t xml:space="preserve">5.      Приложения ................................................................................................................................21</w:t>
          </w:r>
          <w:r>
            <w:rPr>
              <w:rFonts w:ascii="Times New Roman" w:hAnsi="Times New Roman" w:cs="Times New Roman"/>
              <w:b/>
              <w:bCs/>
              <w:sz w:val="24"/>
              <w:szCs w:val="24"/>
              <w:highlight w:val="none"/>
            </w:rPr>
          </w:r>
          <w:r>
            <w:rPr>
              <w:rFonts w:ascii="Times New Roman" w:hAnsi="Times New Roman" w:cs="Times New Roman"/>
              <w:b/>
              <w:bCs/>
              <w:sz w:val="24"/>
              <w:szCs w:val="24"/>
              <w:highlight w:val="none"/>
            </w:rPr>
          </w:r>
        </w:p>
        <w:p>
          <w:pPr>
            <w:pStyle w:val="1034"/>
          </w:pPr>
          <w:r>
            <w:rPr>
              <w:rFonts w:ascii="Times New Roman" w:hAnsi="Times New Roman" w:cs="Times New Roman"/>
              <w:b/>
              <w:sz w:val="24"/>
              <w:highlight w:val="none"/>
            </w:rPr>
          </w:r>
          <w:r>
            <w:rPr>
              <w:rFonts w:ascii="Times New Roman" w:hAnsi="Times New Roman" w:cs="Times New Roman"/>
              <w:b/>
              <w:sz w:val="24"/>
              <w:highlight w:val="none"/>
            </w:rPr>
          </w:r>
          <w:r/>
        </w:p>
        <w:p>
          <w:r>
            <w:fldChar w:fldCharType="end"/>
          </w:r>
          <w:r/>
        </w:p>
      </w:sdtContent>
    </w:sdt>
    <w:p>
      <w:pPr>
        <w:pStyle w:val="1034"/>
        <w:jc w:val="center"/>
        <w:rPr>
          <w:rFonts w:ascii="Times New Roman" w:hAnsi="Times New Roman" w:cs="Times New Roman"/>
          <w:b/>
          <w:i/>
        </w:rPr>
      </w:pPr>
      <w:r>
        <w:rPr>
          <w:rFonts w:ascii="Times New Roman" w:hAnsi="Times New Roman" w:cs="Times New Roman"/>
          <w:b/>
          <w:i/>
          <w:sz w:val="24"/>
        </w:rPr>
      </w:r>
      <w:r>
        <w:rPr>
          <w:rFonts w:ascii="Times New Roman" w:hAnsi="Times New Roman" w:cs="Times New Roman"/>
          <w:b/>
          <w:i/>
        </w:rPr>
      </w:r>
      <w:r>
        <w:rPr>
          <w:rFonts w:ascii="Times New Roman" w:hAnsi="Times New Roman" w:cs="Times New Roman"/>
          <w:b/>
          <w:i/>
        </w:rPr>
      </w:r>
    </w:p>
    <w:p>
      <w:pPr>
        <w:spacing w:after="160" w:line="259" w:lineRule="auto"/>
        <w:rPr>
          <w:highlight w:val="none"/>
        </w:rPr>
      </w:pPr>
      <w:r>
        <w:br w:type="page" w:clear="all"/>
      </w:r>
      <w:r>
        <w:rPr>
          <w:highlight w:val="none"/>
        </w:rPr>
      </w:r>
      <w:r>
        <w:rPr>
          <w:highlight w:val="none"/>
        </w:rPr>
      </w:r>
    </w:p>
    <w:p>
      <w:pPr>
        <w:pStyle w:val="825"/>
        <w:ind w:left="357" w:hanging="357"/>
        <w:jc w:val="center"/>
        <w:keepLines/>
        <w:rPr>
          <w:caps/>
        </w:rPr>
      </w:pPr>
      <w:r/>
      <w:bookmarkStart w:id="0" w:name="_Toc51339692"/>
      <w:r/>
      <w:bookmarkStart w:id="1" w:name="_Toc54646395"/>
      <w:r>
        <w:t xml:space="preserve">Общие сведения</w:t>
      </w:r>
      <w:bookmarkEnd w:id="0"/>
      <w:r/>
      <w:bookmarkEnd w:id="1"/>
      <w:r>
        <w:rPr>
          <w:caps/>
        </w:rPr>
      </w:r>
      <w:r>
        <w:rPr>
          <w:caps/>
        </w:rPr>
      </w:r>
    </w:p>
    <w:p>
      <w:pPr>
        <w:pStyle w:val="828"/>
      </w:pPr>
      <w:r/>
      <w:bookmarkStart w:id="2" w:name="_Toc46743505"/>
      <w:r/>
      <w:bookmarkStart w:id="3" w:name="_Toc54646396"/>
      <w:r>
        <w:t xml:space="preserve">Обозначения и сокращения</w:t>
      </w:r>
      <w:bookmarkEnd w:id="2"/>
      <w:r/>
      <w:bookmarkEnd w:id="3"/>
      <w:r/>
      <w:r/>
    </w:p>
    <w:p>
      <w:pPr>
        <w:rPr>
          <w:rStyle w:val="1021"/>
          <w:b w:val="0"/>
          <w:bCs/>
          <w:iCs/>
          <w:sz w:val="26"/>
          <w:szCs w:val="26"/>
        </w:rPr>
      </w:pPr>
      <w:r>
        <w:rPr>
          <w:b w:val="0"/>
          <w:bCs/>
          <w:iCs/>
          <w:sz w:val="26"/>
          <w:szCs w:val="26"/>
        </w:rPr>
      </w:r>
      <w:r>
        <w:rPr>
          <w:rStyle w:val="1021"/>
          <w:b w:val="0"/>
          <w:bCs/>
          <w:iCs/>
          <w:sz w:val="26"/>
          <w:szCs w:val="26"/>
        </w:rPr>
      </w:r>
      <w:r>
        <w:rPr>
          <w:rStyle w:val="1021"/>
          <w:b w:val="0"/>
          <w:bCs/>
          <w:iCs/>
          <w:sz w:val="26"/>
          <w:szCs w:val="26"/>
        </w:rPr>
      </w:r>
    </w:p>
    <w:tbl>
      <w:tblPr>
        <w:tblW w:w="97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85"/>
        <w:gridCol w:w="7998"/>
      </w:tblGrid>
      <w:tr>
        <w:tblPrEx/>
        <w:trPr/>
        <w:tc>
          <w:tcPr>
            <w:tcW w:w="1785" w:type="dxa"/>
            <w:vMerge w:val="restart"/>
            <w:textDirection w:val="lrTb"/>
            <w:noWrap w:val="false"/>
          </w:tcPr>
          <w:p>
            <w:pPr>
              <w:jc w:val="both"/>
              <w:spacing w:before="120" w:after="120"/>
              <w:widowControl w:val="off"/>
              <w:tabs>
                <w:tab w:val="left" w:pos="426" w:leader="none"/>
              </w:tabs>
              <w:rPr>
                <w:highlight w:val="white"/>
              </w:rPr>
            </w:pPr>
            <w:r>
              <w:rPr>
                <w:sz w:val="24"/>
                <w:szCs w:val="24"/>
                <w:highlight w:val="white"/>
              </w:rPr>
              <w:t xml:space="preserve">АО</w:t>
            </w:r>
            <w:r>
              <w:rPr>
                <w:highlight w:val="white"/>
              </w:rPr>
            </w:r>
            <w:r>
              <w:rPr>
                <w:highlight w:val="white"/>
              </w:rPr>
            </w:r>
          </w:p>
        </w:tc>
        <w:tc>
          <w:tcPr>
            <w:tcW w:w="7998" w:type="dxa"/>
            <w:vMerge w:val="restart"/>
            <w:textDirection w:val="lrTb"/>
            <w:noWrap w:val="false"/>
          </w:tcPr>
          <w:p>
            <w:pPr>
              <w:jc w:val="both"/>
              <w:rPr>
                <w:highlight w:val="white"/>
              </w:rPr>
            </w:pPr>
            <w:r>
              <w:rPr>
                <w:sz w:val="24"/>
                <w:szCs w:val="24"/>
                <w:highlight w:val="white"/>
              </w:rPr>
              <w:t xml:space="preserve">Акционерное общество</w:t>
            </w:r>
            <w:r>
              <w:rPr>
                <w:highlight w:val="white"/>
              </w:rPr>
            </w:r>
            <w:r>
              <w:rPr>
                <w:highlight w:val="white"/>
              </w:rPr>
            </w:r>
          </w:p>
        </w:tc>
      </w:tr>
      <w:tr>
        <w:tblPrEx/>
        <w:trPr/>
        <w:tc>
          <w:tcPr>
            <w:tcW w:w="1785" w:type="dxa"/>
            <w:vMerge w:val="restart"/>
            <w:textDirection w:val="lrTb"/>
            <w:noWrap w:val="false"/>
          </w:tcPr>
          <w:p>
            <w:pPr>
              <w:jc w:val="both"/>
              <w:spacing w:before="120" w:after="120"/>
              <w:widowControl w:val="off"/>
              <w:tabs>
                <w:tab w:val="left" w:pos="426" w:leader="none"/>
              </w:tabs>
              <w:rPr>
                <w:b w:val="0"/>
                <w:bCs/>
                <w:i w:val="0"/>
                <w:iCs/>
                <w:sz w:val="24"/>
                <w:szCs w:val="24"/>
                <w:shd w:val="clear" w:color="auto" w:fill="ffffff" w:themeFill="background1"/>
              </w:rPr>
            </w:pPr>
            <w:r>
              <w:rPr>
                <w:rStyle w:val="1021"/>
                <w:b w:val="0"/>
                <w:bCs/>
                <w:i w:val="0"/>
                <w:iCs/>
                <w:sz w:val="24"/>
                <w:szCs w:val="24"/>
                <w:shd w:val="clear" w:color="auto" w:fill="ffffff" w:themeFill="background1"/>
              </w:rPr>
              <w:t xml:space="preserve">ВСН</w:t>
            </w:r>
            <w:r>
              <w:rPr>
                <w:b w:val="0"/>
                <w:bCs/>
                <w:i w:val="0"/>
                <w:iCs/>
                <w:sz w:val="24"/>
                <w:szCs w:val="24"/>
                <w:shd w:val="clear" w:color="auto" w:fill="ffffff" w:themeFill="background1"/>
              </w:rPr>
            </w:r>
            <w:r>
              <w:rPr>
                <w:b w:val="0"/>
                <w:bCs/>
                <w:i w:val="0"/>
                <w:iCs/>
                <w:sz w:val="24"/>
                <w:szCs w:val="24"/>
                <w:shd w:val="clear" w:color="auto" w:fill="ffffff" w:themeFill="background1"/>
              </w:rPr>
            </w:r>
          </w:p>
        </w:tc>
        <w:tc>
          <w:tcPr>
            <w:tcW w:w="7998" w:type="dxa"/>
            <w:vMerge w:val="restart"/>
            <w:textDirection w:val="lrTb"/>
            <w:noWrap w:val="false"/>
          </w:tcPr>
          <w:p>
            <w:pPr>
              <w:jc w:val="both"/>
              <w:spacing w:before="120" w:after="120"/>
              <w:widowControl w:val="off"/>
              <w:tabs>
                <w:tab w:val="left" w:pos="426" w:leader="none"/>
              </w:tabs>
              <w:rPr>
                <w:b w:val="0"/>
                <w:bCs/>
                <w:i w:val="0"/>
                <w:iCs/>
                <w:sz w:val="24"/>
                <w:szCs w:val="24"/>
                <w:shd w:val="clear" w:color="auto" w:fill="ffffff" w:themeFill="background1"/>
              </w:rPr>
            </w:pPr>
            <w:r>
              <w:rPr>
                <w:rStyle w:val="1021"/>
                <w:b w:val="0"/>
                <w:bCs/>
                <w:i w:val="0"/>
                <w:iCs/>
                <w:sz w:val="24"/>
                <w:szCs w:val="24"/>
                <w:shd w:val="clear" w:color="auto" w:fill="ffffff" w:themeFill="background1"/>
              </w:rPr>
              <w:t xml:space="preserve">Ведомственные строительные нормы</w:t>
            </w:r>
            <w:r>
              <w:rPr>
                <w:b w:val="0"/>
                <w:bCs/>
                <w:i w:val="0"/>
                <w:iCs/>
                <w:sz w:val="24"/>
                <w:szCs w:val="24"/>
                <w:shd w:val="clear" w:color="auto" w:fill="ffffff" w:themeFill="background1"/>
              </w:rPr>
            </w:r>
            <w:r>
              <w:rPr>
                <w:b w:val="0"/>
                <w:bCs/>
                <w:i w:val="0"/>
                <w:iCs/>
                <w:sz w:val="24"/>
                <w:szCs w:val="24"/>
                <w:shd w:val="clear" w:color="auto" w:fill="ffffff" w:themeFill="background1"/>
              </w:rPr>
            </w:r>
          </w:p>
        </w:tc>
      </w:tr>
      <w:tr>
        <w:tblPrEx/>
        <w:trPr/>
        <w:tc>
          <w:tcPr>
            <w:tcW w:w="1785" w:type="dxa"/>
            <w:vMerge w:val="restart"/>
            <w:textDirection w:val="lrTb"/>
            <w:noWrap w:val="false"/>
          </w:tcPr>
          <w:p>
            <w:pPr>
              <w:jc w:val="both"/>
              <w:spacing w:before="120" w:after="120"/>
              <w:widowControl w:val="off"/>
              <w:tabs>
                <w:tab w:val="left" w:pos="426" w:leader="none"/>
              </w:tabs>
              <w:rPr>
                <w:bCs w:val="0"/>
                <w:highlight w:val="white"/>
              </w:rPr>
            </w:pPr>
            <w:r>
              <w:rPr>
                <w:sz w:val="24"/>
                <w:szCs w:val="24"/>
                <w:highlight w:val="white"/>
              </w:rPr>
              <w:t xml:space="preserve">ГОСТ</w:t>
            </w:r>
            <w:r>
              <w:rPr>
                <w:bCs w:val="0"/>
                <w:highlight w:val="white"/>
              </w:rPr>
            </w:r>
            <w:r>
              <w:rPr>
                <w:bCs w:val="0"/>
                <w:highlight w:val="white"/>
              </w:rPr>
            </w:r>
          </w:p>
        </w:tc>
        <w:tc>
          <w:tcPr>
            <w:tcW w:w="7998" w:type="dxa"/>
            <w:vMerge w:val="restart"/>
            <w:textDirection w:val="lrTb"/>
            <w:noWrap w:val="false"/>
          </w:tcPr>
          <w:p>
            <w:pPr>
              <w:jc w:val="both"/>
              <w:rPr>
                <w:bCs w:val="0"/>
                <w:highlight w:val="white"/>
              </w:rPr>
            </w:pPr>
            <w:r>
              <w:rPr>
                <w:sz w:val="24"/>
                <w:szCs w:val="24"/>
                <w:highlight w:val="white"/>
              </w:rPr>
              <w:t xml:space="preserve">Государственный стандарт</w:t>
            </w:r>
            <w:r>
              <w:rPr>
                <w:bCs w:val="0"/>
                <w:highlight w:val="white"/>
              </w:rPr>
            </w:r>
            <w:r>
              <w:rPr>
                <w:bCs w:val="0"/>
                <w:highlight w:val="white"/>
              </w:rPr>
            </w:r>
          </w:p>
        </w:tc>
      </w:tr>
      <w:tr>
        <w:tblPrEx/>
        <w:trPr/>
        <w:tc>
          <w:tcPr>
            <w:tcW w:w="1785" w:type="dxa"/>
            <w:vMerge w:val="restart"/>
            <w:textDirection w:val="lrTb"/>
            <w:noWrap w:val="false"/>
          </w:tcPr>
          <w:p>
            <w:pPr>
              <w:jc w:val="both"/>
              <w:spacing w:before="120" w:after="120"/>
              <w:widowControl w:val="off"/>
              <w:tabs>
                <w:tab w:val="left" w:pos="426" w:leader="none"/>
              </w:tabs>
              <w:rPr>
                <w:bCs w:val="0"/>
                <w:highlight w:val="white"/>
              </w:rPr>
            </w:pPr>
            <w:r>
              <w:rPr>
                <w:sz w:val="24"/>
                <w:szCs w:val="24"/>
                <w:highlight w:val="white"/>
              </w:rPr>
              <w:t xml:space="preserve">КС-2</w:t>
            </w:r>
            <w:r>
              <w:rPr>
                <w:bCs w:val="0"/>
                <w:highlight w:val="white"/>
              </w:rPr>
            </w:r>
            <w:r>
              <w:rPr>
                <w:bCs w:val="0"/>
                <w:highlight w:val="white"/>
              </w:rPr>
            </w:r>
          </w:p>
        </w:tc>
        <w:tc>
          <w:tcPr>
            <w:tcW w:w="7998" w:type="dxa"/>
            <w:vMerge w:val="restart"/>
            <w:textDirection w:val="lrTb"/>
            <w:noWrap w:val="false"/>
          </w:tcPr>
          <w:p>
            <w:pPr>
              <w:jc w:val="both"/>
              <w:rPr>
                <w:highlight w:val="white"/>
              </w:rPr>
            </w:pPr>
            <w:r>
              <w:rPr>
                <w:sz w:val="24"/>
                <w:szCs w:val="24"/>
                <w:highlight w:val="white"/>
              </w:rPr>
              <w:t xml:space="preserve">А</w:t>
            </w:r>
            <w:r>
              <w:rPr>
                <w:sz w:val="24"/>
                <w:szCs w:val="24"/>
                <w:highlight w:val="white"/>
              </w:rPr>
              <w:t xml:space="preserve">кт о приемке выполненных работ (форма № КС-2)</w:t>
            </w:r>
            <w:r>
              <w:rPr>
                <w:highlight w:val="white"/>
              </w:rPr>
            </w:r>
            <w:r>
              <w:rPr>
                <w:highlight w:val="white"/>
              </w:rPr>
            </w:r>
          </w:p>
        </w:tc>
      </w:tr>
      <w:tr>
        <w:tblPrEx/>
        <w:trPr/>
        <w:tc>
          <w:tcPr>
            <w:tcW w:w="1785" w:type="dxa"/>
            <w:vMerge w:val="restart"/>
            <w:textDirection w:val="lrTb"/>
            <w:noWrap w:val="false"/>
          </w:tcPr>
          <w:p>
            <w:pPr>
              <w:jc w:val="both"/>
              <w:spacing w:before="120" w:after="120"/>
              <w:widowControl w:val="off"/>
              <w:tabs>
                <w:tab w:val="left" w:pos="426" w:leader="none"/>
              </w:tabs>
              <w:rPr>
                <w:bCs w:val="0"/>
                <w:highlight w:val="white"/>
              </w:rPr>
            </w:pPr>
            <w:r>
              <w:rPr>
                <w:sz w:val="24"/>
                <w:szCs w:val="24"/>
                <w:highlight w:val="white"/>
              </w:rPr>
              <w:t xml:space="preserve">КС-3</w:t>
            </w:r>
            <w:r>
              <w:rPr>
                <w:bCs w:val="0"/>
                <w:highlight w:val="white"/>
              </w:rPr>
            </w:r>
            <w:r>
              <w:rPr>
                <w:bCs w:val="0"/>
                <w:highlight w:val="white"/>
              </w:rPr>
            </w:r>
          </w:p>
        </w:tc>
        <w:tc>
          <w:tcPr>
            <w:tcW w:w="7998" w:type="dxa"/>
            <w:vMerge w:val="restart"/>
            <w:textDirection w:val="lrTb"/>
            <w:noWrap w:val="false"/>
          </w:tcPr>
          <w:p>
            <w:pPr>
              <w:jc w:val="both"/>
              <w:rPr>
                <w:highlight w:val="white"/>
              </w:rPr>
            </w:pPr>
            <w:r>
              <w:rPr>
                <w:sz w:val="24"/>
                <w:szCs w:val="24"/>
                <w:highlight w:val="white"/>
              </w:rPr>
              <w:t xml:space="preserve">С</w:t>
            </w:r>
            <w:r>
              <w:rPr>
                <w:sz w:val="24"/>
                <w:szCs w:val="24"/>
                <w:highlight w:val="white"/>
              </w:rPr>
              <w:t xml:space="preserve">правка о стоимости выполненных работ и затрат (форма № КС-3)</w:t>
            </w:r>
            <w:r>
              <w:rPr>
                <w:highlight w:val="white"/>
              </w:rPr>
            </w:r>
            <w:r>
              <w:rPr>
                <w:highlight w:val="white"/>
              </w:rPr>
            </w:r>
          </w:p>
        </w:tc>
      </w:tr>
      <w:tr>
        <w:tblPrEx/>
        <w:trPr/>
        <w:tc>
          <w:tcPr>
            <w:tcW w:w="1785" w:type="dxa"/>
            <w:vMerge w:val="restart"/>
            <w:textDirection w:val="lrTb"/>
            <w:noWrap w:val="false"/>
          </w:tcPr>
          <w:p>
            <w:pPr>
              <w:jc w:val="both"/>
              <w:spacing w:before="120" w:after="120"/>
              <w:widowControl w:val="off"/>
              <w:tabs>
                <w:tab w:val="left" w:pos="426" w:leader="none"/>
              </w:tabs>
              <w:rPr>
                <w:iCs/>
                <w:sz w:val="24"/>
                <w:szCs w:val="24"/>
                <w14:ligatures w14:val="none"/>
              </w:rPr>
            </w:pPr>
            <w:r>
              <w:rPr>
                <w:rStyle w:val="1021"/>
                <w:b w:val="0"/>
                <w:bCs w:val="0"/>
                <w:i w:val="0"/>
                <w:iCs w:val="0"/>
                <w:sz w:val="24"/>
                <w:szCs w:val="24"/>
                <w:shd w:val="clear" w:color="auto" w:fill="ffffff" w:themeFill="background1"/>
              </w:rPr>
              <w:t xml:space="preserve">ЛНА</w:t>
            </w:r>
            <w:r>
              <w:rPr>
                <w:iCs/>
                <w:sz w:val="24"/>
                <w:szCs w:val="24"/>
                <w14:ligatures w14:val="none"/>
              </w:rPr>
            </w:r>
            <w:r>
              <w:rPr>
                <w:iCs/>
                <w:sz w:val="24"/>
                <w:szCs w:val="24"/>
                <w14:ligatures w14:val="none"/>
              </w:rPr>
            </w:r>
          </w:p>
        </w:tc>
        <w:tc>
          <w:tcPr>
            <w:tcW w:w="7998" w:type="dxa"/>
            <w:vMerge w:val="restart"/>
            <w:textDirection w:val="lrTb"/>
            <w:noWrap w:val="false"/>
          </w:tcPr>
          <w:p>
            <w:pPr>
              <w:jc w:val="both"/>
              <w:spacing w:before="120" w:after="120"/>
              <w:widowControl w:val="off"/>
              <w:tabs>
                <w:tab w:val="left" w:pos="426" w:leader="none"/>
              </w:tabs>
              <w:rPr>
                <w:iCs/>
                <w:sz w:val="24"/>
                <w:szCs w:val="24"/>
                <w14:ligatures w14:val="none"/>
              </w:rPr>
            </w:pPr>
            <w:r>
              <w:rPr>
                <w:rStyle w:val="1021"/>
                <w:b w:val="0"/>
                <w:bCs w:val="0"/>
                <w:i w:val="0"/>
                <w:iCs w:val="0"/>
                <w:sz w:val="24"/>
                <w:szCs w:val="24"/>
                <w:shd w:val="clear" w:color="auto" w:fill="ffffff" w:themeFill="background1"/>
              </w:rPr>
              <w:t xml:space="preserve">Локальный нормативный акт</w:t>
            </w:r>
            <w:r>
              <w:rPr>
                <w:iCs/>
                <w:sz w:val="24"/>
                <w:szCs w:val="24"/>
                <w14:ligatures w14:val="none"/>
              </w:rPr>
            </w:r>
            <w:r>
              <w:rPr>
                <w:iCs/>
                <w:sz w:val="24"/>
                <w:szCs w:val="24"/>
                <w14:ligatures w14:val="none"/>
              </w:rPr>
            </w:r>
          </w:p>
        </w:tc>
      </w:tr>
      <w:tr>
        <w:tblPrEx/>
        <w:trPr>
          <w:cantSplit/>
          <w:jc w:val="center"/>
        </w:trPr>
        <w:tc>
          <w:tcPr>
            <w:tcW w:w="1785" w:type="dxa"/>
            <w:textDirection w:val="lrTb"/>
            <w:noWrap w:val="false"/>
          </w:tcPr>
          <w:p>
            <w:pPr>
              <w:jc w:val="both"/>
              <w:spacing w:before="120" w:after="120"/>
              <w:widowControl w:val="off"/>
              <w:tabs>
                <w:tab w:val="left" w:pos="426" w:leader="none"/>
              </w:tabs>
              <w:rPr>
                <w:iCs/>
                <w:sz w:val="24"/>
                <w:szCs w:val="24"/>
              </w:rPr>
            </w:pPr>
            <w:r>
              <w:rPr>
                <w:iCs/>
                <w:sz w:val="24"/>
                <w:szCs w:val="24"/>
              </w:rPr>
              <w:t xml:space="preserve">НТД</w:t>
            </w:r>
            <w:r>
              <w:rPr>
                <w:iCs/>
                <w:sz w:val="24"/>
                <w:szCs w:val="24"/>
              </w:rPr>
            </w:r>
            <w:r>
              <w:rPr>
                <w:iCs/>
                <w:sz w:val="24"/>
                <w:szCs w:val="24"/>
              </w:rPr>
            </w:r>
          </w:p>
        </w:tc>
        <w:tc>
          <w:tcPr>
            <w:tcW w:w="7998" w:type="dxa"/>
            <w:textDirection w:val="lrTb"/>
            <w:noWrap w:val="false"/>
          </w:tcPr>
          <w:p>
            <w:pPr>
              <w:jc w:val="both"/>
              <w:spacing w:before="120" w:after="120"/>
              <w:widowControl w:val="off"/>
              <w:tabs>
                <w:tab w:val="left" w:pos="426" w:leader="none"/>
              </w:tabs>
              <w:rPr>
                <w:iCs/>
                <w:sz w:val="24"/>
                <w:szCs w:val="24"/>
              </w:rPr>
            </w:pPr>
            <w:r>
              <w:rPr>
                <w:iCs/>
                <w:sz w:val="24"/>
                <w:szCs w:val="24"/>
              </w:rPr>
              <w:t xml:space="preserve">Нормативно-техническая документация</w:t>
            </w:r>
            <w:r>
              <w:rPr>
                <w:iCs/>
                <w:sz w:val="24"/>
                <w:szCs w:val="24"/>
              </w:rPr>
            </w:r>
            <w:r>
              <w:rPr>
                <w:iCs/>
                <w:sz w:val="24"/>
                <w:szCs w:val="24"/>
              </w:rPr>
            </w:r>
          </w:p>
        </w:tc>
      </w:tr>
      <w:tr>
        <w:tblPrEx/>
        <w:trPr>
          <w:cantSplit/>
          <w:jc w:val="center"/>
        </w:trPr>
        <w:tc>
          <w:tcPr>
            <w:tcW w:w="1785" w:type="dxa"/>
            <w:textDirection w:val="lrTb"/>
            <w:noWrap w:val="false"/>
          </w:tcPr>
          <w:p>
            <w:pPr>
              <w:jc w:val="both"/>
              <w:spacing w:before="120" w:after="120"/>
              <w:widowControl w:val="off"/>
              <w:tabs>
                <w:tab w:val="left" w:pos="426" w:leader="none"/>
              </w:tabs>
              <w:rPr>
                <w:iCs/>
                <w:sz w:val="24"/>
                <w:szCs w:val="24"/>
              </w:rPr>
            </w:pPr>
            <w:r>
              <w:rPr>
                <w:iCs/>
                <w:sz w:val="24"/>
                <w:szCs w:val="24"/>
              </w:rPr>
              <w:t xml:space="preserve">ОДМ</w:t>
            </w:r>
            <w:r>
              <w:rPr>
                <w:iCs/>
                <w:sz w:val="24"/>
                <w:szCs w:val="24"/>
              </w:rPr>
            </w:r>
            <w:r>
              <w:rPr>
                <w:iCs/>
                <w:sz w:val="24"/>
                <w:szCs w:val="24"/>
              </w:rPr>
            </w:r>
          </w:p>
        </w:tc>
        <w:tc>
          <w:tcPr>
            <w:tcW w:w="7998" w:type="dxa"/>
            <w:textDirection w:val="lrTb"/>
            <w:noWrap w:val="false"/>
          </w:tcPr>
          <w:p>
            <w:pPr>
              <w:jc w:val="both"/>
              <w:spacing w:before="120" w:after="120"/>
              <w:widowControl w:val="off"/>
              <w:tabs>
                <w:tab w:val="left" w:pos="426" w:leader="none"/>
              </w:tabs>
              <w:rPr>
                <w:iCs/>
                <w:sz w:val="24"/>
                <w:szCs w:val="24"/>
              </w:rPr>
            </w:pPr>
            <w:r>
              <w:rPr>
                <w:iCs/>
                <w:sz w:val="24"/>
                <w:szCs w:val="24"/>
              </w:rPr>
              <w:t xml:space="preserve">Отраслевой дорожный методический документ</w:t>
            </w:r>
            <w:r>
              <w:rPr>
                <w:iCs/>
                <w:sz w:val="24"/>
                <w:szCs w:val="24"/>
              </w:rPr>
            </w:r>
            <w:r>
              <w:rPr>
                <w:iCs/>
                <w:sz w:val="24"/>
                <w:szCs w:val="24"/>
              </w:rPr>
            </w:r>
          </w:p>
        </w:tc>
      </w:tr>
      <w:tr>
        <w:tblPrEx/>
        <w:trPr>
          <w:cantSplit/>
          <w:jc w:val="center"/>
        </w:trPr>
        <w:tc>
          <w:tcPr>
            <w:tcW w:w="1785" w:type="dxa"/>
            <w:textDirection w:val="lrTb"/>
            <w:noWrap w:val="false"/>
          </w:tcPr>
          <w:p>
            <w:pPr>
              <w:jc w:val="both"/>
              <w:spacing w:before="120" w:after="120"/>
              <w:widowControl w:val="off"/>
              <w:tabs>
                <w:tab w:val="left" w:pos="426" w:leader="none"/>
              </w:tabs>
              <w:rPr>
                <w:iCs/>
                <w:sz w:val="24"/>
                <w:szCs w:val="24"/>
              </w:rPr>
            </w:pPr>
            <w:r>
              <w:rPr>
                <w:iCs/>
                <w:sz w:val="24"/>
                <w:szCs w:val="24"/>
              </w:rPr>
              <w:t xml:space="preserve">ОКПД</w:t>
            </w:r>
            <w:r>
              <w:rPr>
                <w:iCs/>
                <w:sz w:val="24"/>
                <w:szCs w:val="24"/>
              </w:rPr>
              <w:t xml:space="preserve">2</w:t>
            </w:r>
            <w:r>
              <w:rPr>
                <w:iCs/>
                <w:sz w:val="24"/>
                <w:szCs w:val="24"/>
              </w:rPr>
            </w:r>
            <w:r>
              <w:rPr>
                <w:iCs/>
                <w:sz w:val="24"/>
                <w:szCs w:val="24"/>
              </w:rPr>
            </w:r>
          </w:p>
        </w:tc>
        <w:tc>
          <w:tcPr>
            <w:tcW w:w="7998" w:type="dxa"/>
            <w:textDirection w:val="lrTb"/>
            <w:noWrap w:val="false"/>
          </w:tcPr>
          <w:p>
            <w:pPr>
              <w:jc w:val="both"/>
              <w:spacing w:before="120" w:after="120"/>
              <w:widowControl w:val="off"/>
              <w:tabs>
                <w:tab w:val="left" w:pos="426" w:leader="none"/>
              </w:tabs>
              <w:rPr>
                <w:iCs/>
                <w:sz w:val="24"/>
                <w:szCs w:val="24"/>
              </w:rPr>
            </w:pPr>
            <w:r>
              <w:rPr>
                <w:iCs/>
                <w:sz w:val="24"/>
                <w:szCs w:val="24"/>
              </w:rPr>
              <w:t xml:space="preserve">Общероссийский классификатор продукции по видам экономической деятельности</w:t>
            </w:r>
            <w:r>
              <w:rPr>
                <w:iCs/>
                <w:sz w:val="24"/>
                <w:szCs w:val="24"/>
              </w:rPr>
            </w:r>
            <w:r>
              <w:rPr>
                <w:iCs/>
                <w:sz w:val="24"/>
                <w:szCs w:val="24"/>
              </w:rPr>
            </w:r>
          </w:p>
        </w:tc>
      </w:tr>
      <w:tr>
        <w:tblPrEx/>
        <w:trPr/>
        <w:tc>
          <w:tcPr>
            <w:tcW w:w="1785" w:type="dxa"/>
            <w:vMerge w:val="restart"/>
            <w:textDirection w:val="lrTb"/>
            <w:noWrap w:val="false"/>
          </w:tcPr>
          <w:p>
            <w:pPr>
              <w:jc w:val="both"/>
              <w:spacing w:before="120" w:after="120"/>
              <w:widowControl w:val="off"/>
              <w:tabs>
                <w:tab w:val="left" w:pos="426" w:leader="none"/>
              </w:tabs>
              <w:rPr>
                <w14:ligatures w14:val="none"/>
              </w:rPr>
            </w:pPr>
            <w:r>
              <w:rPr>
                <w:rStyle w:val="1021"/>
                <w:b w:val="0"/>
                <w:bCs w:val="0"/>
                <w:i w:val="0"/>
                <w:iCs w:val="0"/>
                <w:sz w:val="24"/>
                <w:szCs w:val="24"/>
                <w:shd w:val="clear" w:color="auto" w:fill="ffffff" w:themeFill="background1"/>
              </w:rPr>
              <w:t xml:space="preserve">ППР</w:t>
            </w:r>
            <w:r>
              <w:rPr>
                <w14:ligatures w14:val="none"/>
              </w:rPr>
            </w:r>
            <w:r>
              <w:rPr>
                <w14:ligatures w14:val="none"/>
              </w:rPr>
            </w:r>
          </w:p>
        </w:tc>
        <w:tc>
          <w:tcPr>
            <w:tcW w:w="7998" w:type="dxa"/>
            <w:vMerge w:val="restart"/>
            <w:textDirection w:val="lrTb"/>
            <w:noWrap w:val="false"/>
          </w:tcPr>
          <w:p>
            <w:pPr>
              <w:jc w:val="both"/>
              <w:spacing w:before="120" w:after="120"/>
              <w:widowControl w:val="off"/>
              <w:tabs>
                <w:tab w:val="left" w:pos="426" w:leader="none"/>
              </w:tabs>
              <w:rPr>
                <w14:ligatures w14:val="none"/>
              </w:rPr>
            </w:pPr>
            <w:r>
              <w:rPr>
                <w:rStyle w:val="1021"/>
                <w:b w:val="0"/>
                <w:bCs w:val="0"/>
                <w:i w:val="0"/>
                <w:iCs w:val="0"/>
                <w:sz w:val="24"/>
                <w:szCs w:val="24"/>
                <w:shd w:val="clear" w:color="auto" w:fill="ffffff" w:themeFill="background1"/>
              </w:rPr>
              <w:t xml:space="preserve">Проект производства работ</w:t>
            </w:r>
            <w:r>
              <w:rPr>
                <w14:ligatures w14:val="none"/>
              </w:rPr>
            </w:r>
            <w:r>
              <w:rPr>
                <w14:ligatures w14:val="none"/>
              </w:rPr>
            </w:r>
          </w:p>
        </w:tc>
      </w:tr>
      <w:tr>
        <w:tblPrEx/>
        <w:trPr/>
        <w:tc>
          <w:tcPr>
            <w:tcW w:w="1785" w:type="dxa"/>
            <w:vMerge w:val="restart"/>
            <w:textDirection w:val="lrTb"/>
            <w:noWrap w:val="false"/>
          </w:tcPr>
          <w:p>
            <w:pPr>
              <w:jc w:val="both"/>
              <w:spacing w:before="120" w:after="120"/>
              <w:widowControl w:val="off"/>
              <w:tabs>
                <w:tab w:val="left" w:pos="426" w:leader="none"/>
              </w:tabs>
              <w:rPr>
                <w:b w:val="0"/>
                <w:bCs w:val="0"/>
                <w:i w:val="0"/>
                <w:iCs w:val="0"/>
                <w:sz w:val="24"/>
                <w:szCs w:val="24"/>
                <w:shd w:val="clear" w:color="auto" w:fill="ffffff" w:themeFill="background1"/>
                <w14:ligatures w14:val="none"/>
              </w:rPr>
            </w:pPr>
            <w:r>
              <w:rPr>
                <w:rStyle w:val="1021"/>
                <w:b w:val="0"/>
                <w:bCs w:val="0"/>
                <w:i w:val="0"/>
                <w:iCs w:val="0"/>
                <w:sz w:val="24"/>
                <w:szCs w:val="24"/>
                <w:shd w:val="clear" w:color="auto" w:fill="ffffff" w:themeFill="background1"/>
              </w:rPr>
              <w:t xml:space="preserve">РД</w:t>
            </w:r>
            <w:r>
              <w:rPr>
                <w:b w:val="0"/>
                <w:bCs w:val="0"/>
                <w:i w:val="0"/>
                <w:iCs w:val="0"/>
                <w:sz w:val="24"/>
                <w:szCs w:val="24"/>
                <w:shd w:val="clear" w:color="auto" w:fill="ffffff" w:themeFill="background1"/>
                <w14:ligatures w14:val="none"/>
              </w:rPr>
            </w:r>
            <w:r>
              <w:rPr>
                <w:b w:val="0"/>
                <w:bCs w:val="0"/>
                <w:i w:val="0"/>
                <w:iCs w:val="0"/>
                <w:sz w:val="24"/>
                <w:szCs w:val="24"/>
                <w:shd w:val="clear" w:color="auto" w:fill="ffffff" w:themeFill="background1"/>
                <w14:ligatures w14:val="none"/>
              </w:rPr>
            </w:r>
          </w:p>
        </w:tc>
        <w:tc>
          <w:tcPr>
            <w:tcW w:w="7998" w:type="dxa"/>
            <w:vMerge w:val="restart"/>
            <w:textDirection w:val="lrTb"/>
            <w:noWrap w:val="false"/>
          </w:tcPr>
          <w:p>
            <w:pPr>
              <w:jc w:val="both"/>
              <w:spacing w:before="120" w:after="120"/>
              <w:widowControl w:val="off"/>
              <w:tabs>
                <w:tab w:val="left" w:pos="426" w:leader="none"/>
              </w:tabs>
              <w:rPr>
                <w:b w:val="0"/>
                <w:bCs w:val="0"/>
                <w:i w:val="0"/>
                <w:iCs w:val="0"/>
                <w:sz w:val="24"/>
                <w:szCs w:val="24"/>
                <w:shd w:val="clear" w:color="auto" w:fill="ffffff" w:themeFill="background1"/>
                <w14:ligatures w14:val="none"/>
              </w:rPr>
            </w:pPr>
            <w:r>
              <w:rPr>
                <w:rStyle w:val="1021"/>
                <w:b w:val="0"/>
                <w:bCs w:val="0"/>
                <w:i w:val="0"/>
                <w:iCs w:val="0"/>
                <w:sz w:val="24"/>
                <w:szCs w:val="24"/>
                <w:shd w:val="clear" w:color="auto" w:fill="ffffff" w:themeFill="background1"/>
              </w:rPr>
              <w:t xml:space="preserve">Руководящий документ</w:t>
            </w:r>
            <w:r>
              <w:rPr>
                <w:b w:val="0"/>
                <w:bCs w:val="0"/>
                <w:i w:val="0"/>
                <w:iCs w:val="0"/>
                <w:sz w:val="24"/>
                <w:szCs w:val="24"/>
                <w:shd w:val="clear" w:color="auto" w:fill="ffffff" w:themeFill="background1"/>
                <w14:ligatures w14:val="none"/>
              </w:rPr>
            </w:r>
            <w:r>
              <w:rPr>
                <w:b w:val="0"/>
                <w:bCs w:val="0"/>
                <w:i w:val="0"/>
                <w:iCs w:val="0"/>
                <w:sz w:val="24"/>
                <w:szCs w:val="24"/>
                <w:shd w:val="clear" w:color="auto" w:fill="ffffff" w:themeFill="background1"/>
                <w14:ligatures w14:val="none"/>
              </w:rPr>
            </w:r>
          </w:p>
        </w:tc>
      </w:tr>
      <w:tr>
        <w:tblPrEx/>
        <w:trPr/>
        <w:tc>
          <w:tcPr>
            <w:tcW w:w="1785" w:type="dxa"/>
            <w:vMerge w:val="restart"/>
            <w:textDirection w:val="lrTb"/>
            <w:noWrap w:val="false"/>
          </w:tcPr>
          <w:p>
            <w:pPr>
              <w:jc w:val="both"/>
              <w:spacing w:before="120" w:after="120"/>
              <w:widowControl w:val="off"/>
              <w:tabs>
                <w:tab w:val="left" w:pos="426" w:leader="none"/>
              </w:tabs>
              <w:rPr>
                <w:iCs/>
                <w:sz w:val="24"/>
                <w:szCs w:val="24"/>
              </w:rPr>
            </w:pPr>
            <w:r>
              <w:rPr>
                <w:iCs/>
                <w:sz w:val="24"/>
                <w:szCs w:val="24"/>
              </w:rPr>
              <w:t xml:space="preserve">РП</w:t>
            </w:r>
            <w:r>
              <w:rPr>
                <w:iCs/>
                <w:sz w:val="24"/>
                <w:szCs w:val="24"/>
              </w:rPr>
            </w:r>
            <w:r>
              <w:rPr>
                <w:iCs/>
                <w:sz w:val="24"/>
                <w:szCs w:val="24"/>
              </w:rPr>
            </w:r>
          </w:p>
        </w:tc>
        <w:tc>
          <w:tcPr>
            <w:tcW w:w="7998" w:type="dxa"/>
            <w:vMerge w:val="restart"/>
            <w:textDirection w:val="lrTb"/>
            <w:noWrap w:val="false"/>
          </w:tcPr>
          <w:p>
            <w:pPr>
              <w:jc w:val="both"/>
              <w:spacing w:before="120" w:after="120"/>
              <w:widowControl w:val="off"/>
              <w:tabs>
                <w:tab w:val="left" w:pos="426" w:leader="none"/>
              </w:tabs>
              <w:rPr>
                <w:iCs/>
                <w:sz w:val="24"/>
                <w:szCs w:val="24"/>
              </w:rPr>
            </w:pPr>
            <w:r>
              <w:rPr>
                <w:iCs/>
                <w:sz w:val="24"/>
                <w:szCs w:val="24"/>
              </w:rPr>
              <w:t xml:space="preserve">Рабочий проект</w:t>
            </w:r>
            <w:r>
              <w:rPr>
                <w:iCs/>
                <w:sz w:val="24"/>
                <w:szCs w:val="24"/>
              </w:rPr>
            </w:r>
            <w:r>
              <w:rPr>
                <w:iCs/>
                <w:sz w:val="24"/>
                <w:szCs w:val="24"/>
              </w:rPr>
            </w:r>
          </w:p>
        </w:tc>
      </w:tr>
      <w:tr>
        <w:tblPrEx/>
        <w:trPr>
          <w:cantSplit/>
          <w:jc w:val="center"/>
        </w:trPr>
        <w:tc>
          <w:tcPr>
            <w:tcW w:w="1785" w:type="dxa"/>
            <w:textDirection w:val="lrTb"/>
            <w:noWrap w:val="false"/>
          </w:tcPr>
          <w:p>
            <w:pPr>
              <w:jc w:val="both"/>
              <w:spacing w:before="120" w:after="120"/>
              <w:widowControl w:val="off"/>
              <w:tabs>
                <w:tab w:val="left" w:pos="426" w:leader="none"/>
              </w:tabs>
              <w:rPr>
                <w:iCs/>
                <w:sz w:val="24"/>
                <w:szCs w:val="24"/>
              </w:rPr>
            </w:pPr>
            <w:r>
              <w:rPr>
                <w:iCs/>
                <w:sz w:val="24"/>
                <w:szCs w:val="24"/>
              </w:rPr>
              <w:t xml:space="preserve">СНиП</w:t>
            </w:r>
            <w:r>
              <w:rPr>
                <w:iCs/>
                <w:sz w:val="24"/>
                <w:szCs w:val="24"/>
              </w:rPr>
            </w:r>
            <w:r>
              <w:rPr>
                <w:iCs/>
                <w:sz w:val="24"/>
                <w:szCs w:val="24"/>
              </w:rPr>
            </w:r>
          </w:p>
        </w:tc>
        <w:tc>
          <w:tcPr>
            <w:tcW w:w="7998" w:type="dxa"/>
            <w:textDirection w:val="lrTb"/>
            <w:noWrap w:val="false"/>
          </w:tcPr>
          <w:p>
            <w:pPr>
              <w:jc w:val="both"/>
              <w:spacing w:before="120" w:after="120"/>
              <w:widowControl w:val="off"/>
              <w:tabs>
                <w:tab w:val="left" w:pos="426" w:leader="none"/>
              </w:tabs>
              <w:rPr>
                <w:iCs/>
                <w:sz w:val="24"/>
                <w:szCs w:val="24"/>
              </w:rPr>
            </w:pPr>
            <w:r>
              <w:rPr>
                <w:iCs/>
                <w:sz w:val="24"/>
                <w:szCs w:val="24"/>
              </w:rPr>
              <w:t xml:space="preserve">Строительные нормы и правила</w:t>
            </w:r>
            <w:r>
              <w:rPr>
                <w:iCs/>
                <w:sz w:val="24"/>
                <w:szCs w:val="24"/>
              </w:rPr>
            </w:r>
            <w:r>
              <w:rPr>
                <w:iCs/>
                <w:sz w:val="24"/>
                <w:szCs w:val="24"/>
              </w:rPr>
            </w:r>
          </w:p>
        </w:tc>
      </w:tr>
      <w:tr>
        <w:tblPrEx/>
        <w:trPr>
          <w:cantSplit/>
          <w:jc w:val="center"/>
        </w:trPr>
        <w:tc>
          <w:tcPr>
            <w:tcW w:w="1785" w:type="dxa"/>
            <w:textDirection w:val="lrTb"/>
            <w:noWrap w:val="false"/>
          </w:tcPr>
          <w:p>
            <w:pPr>
              <w:jc w:val="both"/>
              <w:spacing w:before="120" w:after="120"/>
              <w:widowControl w:val="off"/>
              <w:tabs>
                <w:tab w:val="left" w:pos="426" w:leader="none"/>
              </w:tabs>
              <w:rPr>
                <w:iCs/>
                <w:sz w:val="24"/>
                <w:szCs w:val="24"/>
              </w:rPr>
            </w:pPr>
            <w:r>
              <w:rPr>
                <w:iCs/>
                <w:sz w:val="24"/>
                <w:szCs w:val="24"/>
              </w:rPr>
              <w:t xml:space="preserve">СП</w:t>
            </w:r>
            <w:r>
              <w:rPr>
                <w:iCs/>
                <w:sz w:val="24"/>
                <w:szCs w:val="24"/>
              </w:rPr>
            </w:r>
            <w:r>
              <w:rPr>
                <w:iCs/>
                <w:sz w:val="24"/>
                <w:szCs w:val="24"/>
              </w:rPr>
            </w:r>
          </w:p>
        </w:tc>
        <w:tc>
          <w:tcPr>
            <w:tcW w:w="7998" w:type="dxa"/>
            <w:textDirection w:val="lrTb"/>
            <w:noWrap w:val="false"/>
          </w:tcPr>
          <w:p>
            <w:pPr>
              <w:jc w:val="both"/>
              <w:spacing w:before="120" w:after="120"/>
              <w:widowControl w:val="off"/>
              <w:tabs>
                <w:tab w:val="left" w:pos="426" w:leader="none"/>
              </w:tabs>
              <w:rPr>
                <w:iCs/>
                <w:sz w:val="24"/>
                <w:szCs w:val="24"/>
              </w:rPr>
            </w:pPr>
            <w:r>
              <w:rPr>
                <w:iCs/>
                <w:sz w:val="24"/>
                <w:szCs w:val="24"/>
              </w:rPr>
              <w:t xml:space="preserve">Структурное подразделение</w:t>
            </w:r>
            <w:r>
              <w:rPr>
                <w:iCs/>
                <w:sz w:val="24"/>
                <w:szCs w:val="24"/>
              </w:rPr>
            </w:r>
            <w:r>
              <w:rPr>
                <w:iCs/>
                <w:sz w:val="24"/>
                <w:szCs w:val="24"/>
              </w:rPr>
            </w:r>
          </w:p>
        </w:tc>
      </w:tr>
      <w:tr>
        <w:tblPrEx/>
        <w:trPr/>
        <w:tc>
          <w:tcPr>
            <w:tcW w:w="1785" w:type="dxa"/>
            <w:vMerge w:val="restart"/>
            <w:textDirection w:val="lrTb"/>
            <w:noWrap w:val="false"/>
          </w:tcPr>
          <w:p>
            <w:pPr>
              <w:jc w:val="both"/>
              <w:spacing w:before="120" w:after="120"/>
              <w:widowControl w:val="off"/>
              <w:tabs>
                <w:tab w:val="left" w:pos="426" w:leader="none"/>
              </w:tabs>
              <w:rPr>
                <w:iCs/>
                <w:sz w:val="24"/>
                <w:szCs w:val="24"/>
              </w:rPr>
            </w:pPr>
            <w:r>
              <w:rPr>
                <w:iCs/>
                <w:sz w:val="24"/>
                <w:szCs w:val="24"/>
              </w:rPr>
              <w:t xml:space="preserve">ТК</w:t>
            </w:r>
            <w:r>
              <w:rPr>
                <w:iCs/>
                <w:sz w:val="24"/>
                <w:szCs w:val="24"/>
              </w:rPr>
            </w:r>
            <w:r>
              <w:rPr>
                <w:iCs/>
                <w:sz w:val="24"/>
                <w:szCs w:val="24"/>
              </w:rPr>
            </w:r>
          </w:p>
        </w:tc>
        <w:tc>
          <w:tcPr>
            <w:tcW w:w="7998" w:type="dxa"/>
            <w:vMerge w:val="restart"/>
            <w:textDirection w:val="lrTb"/>
            <w:noWrap w:val="false"/>
          </w:tcPr>
          <w:p>
            <w:pPr>
              <w:jc w:val="both"/>
              <w:spacing w:before="120" w:after="120"/>
              <w:widowControl w:val="off"/>
              <w:tabs>
                <w:tab w:val="left" w:pos="426" w:leader="none"/>
              </w:tabs>
              <w:rPr>
                <w:iCs/>
                <w:sz w:val="24"/>
                <w:szCs w:val="24"/>
              </w:rPr>
            </w:pPr>
            <w:r>
              <w:rPr>
                <w:iCs/>
                <w:sz w:val="24"/>
                <w:szCs w:val="24"/>
              </w:rPr>
              <w:t xml:space="preserve">Тепловая камера</w:t>
            </w:r>
            <w:r>
              <w:rPr>
                <w:iCs/>
                <w:sz w:val="24"/>
                <w:szCs w:val="24"/>
              </w:rPr>
            </w:r>
            <w:r>
              <w:rPr>
                <w:iCs/>
                <w:sz w:val="24"/>
                <w:szCs w:val="24"/>
              </w:rPr>
            </w:r>
          </w:p>
        </w:tc>
      </w:tr>
      <w:tr>
        <w:tblPrEx/>
        <w:trPr/>
        <w:tc>
          <w:tcPr>
            <w:tcW w:w="1785" w:type="dxa"/>
            <w:vMerge w:val="restart"/>
            <w:textDirection w:val="lrTb"/>
            <w:noWrap w:val="false"/>
          </w:tcPr>
          <w:p>
            <w:pPr>
              <w:jc w:val="both"/>
              <w:spacing w:before="120" w:after="120"/>
              <w:widowControl w:val="off"/>
              <w:tabs>
                <w:tab w:val="left" w:pos="426" w:leader="none"/>
              </w:tabs>
              <w:rPr>
                <w:b w:val="0"/>
                <w:bCs/>
                <w:iCs/>
                <w:sz w:val="24"/>
                <w:szCs w:val="24"/>
              </w:rPr>
            </w:pPr>
            <w:r>
              <w:rPr>
                <w:iCs/>
                <w:sz w:val="24"/>
                <w:szCs w:val="24"/>
              </w:rPr>
              <w:t xml:space="preserve">ТТ</w:t>
            </w:r>
            <w:r>
              <w:rPr>
                <w:b w:val="0"/>
                <w:bCs/>
                <w:iCs/>
                <w:sz w:val="24"/>
                <w:szCs w:val="24"/>
              </w:rPr>
            </w:r>
            <w:r>
              <w:rPr>
                <w:b w:val="0"/>
                <w:bCs/>
                <w:iCs/>
                <w:sz w:val="24"/>
                <w:szCs w:val="24"/>
              </w:rPr>
            </w:r>
          </w:p>
        </w:tc>
        <w:tc>
          <w:tcPr>
            <w:tcW w:w="7998" w:type="dxa"/>
            <w:vMerge w:val="restart"/>
            <w:textDirection w:val="lrTb"/>
            <w:noWrap w:val="false"/>
          </w:tcPr>
          <w:p>
            <w:pPr>
              <w:jc w:val="both"/>
              <w:spacing w:before="120" w:after="120"/>
              <w:widowControl w:val="off"/>
              <w:tabs>
                <w:tab w:val="left" w:pos="426" w:leader="none"/>
              </w:tabs>
              <w:rPr>
                <w:b w:val="0"/>
                <w:bCs/>
                <w:i w:val="0"/>
                <w:iCs/>
                <w:sz w:val="24"/>
                <w:szCs w:val="24"/>
              </w:rPr>
            </w:pPr>
            <w:r>
              <w:rPr>
                <w:iCs/>
                <w:sz w:val="24"/>
                <w:szCs w:val="24"/>
              </w:rPr>
              <w:t xml:space="preserve">Технические требования</w:t>
            </w:r>
            <w:r>
              <w:rPr>
                <w:b w:val="0"/>
                <w:bCs/>
                <w:i w:val="0"/>
                <w:iCs/>
                <w:sz w:val="24"/>
                <w:szCs w:val="24"/>
              </w:rPr>
            </w:r>
            <w:r>
              <w:rPr>
                <w:b w:val="0"/>
                <w:bCs/>
                <w:i w:val="0"/>
                <w:iCs/>
                <w:sz w:val="24"/>
                <w:szCs w:val="24"/>
              </w:rPr>
            </w:r>
          </w:p>
        </w:tc>
      </w:tr>
    </w:tbl>
    <w:p>
      <w:r/>
      <w:r/>
    </w:p>
    <w:p>
      <w:pPr>
        <w:spacing w:after="160" w:line="259" w:lineRule="auto"/>
      </w:pPr>
      <w:r>
        <w:br w:type="page" w:clear="all"/>
      </w:r>
      <w:r/>
    </w:p>
    <w:p>
      <w:pPr>
        <w:pStyle w:val="828"/>
      </w:pPr>
      <w:r/>
      <w:bookmarkStart w:id="4" w:name="_Toc54646397"/>
      <w:r>
        <w:t xml:space="preserve">Наименование закупаемой продукции</w:t>
      </w:r>
      <w:bookmarkEnd w:id="4"/>
      <w:r/>
      <w:r/>
    </w:p>
    <w:p>
      <w:pPr>
        <w:jc w:val="both"/>
        <w:spacing w:before="120" w:after="120"/>
        <w:widowControl w:val="off"/>
        <w:tabs>
          <w:tab w:val="left" w:pos="426" w:leader="none"/>
        </w:tabs>
        <w:rPr>
          <w:rFonts w:eastAsia="Calibri"/>
          <w:i/>
          <w:highlight w:val="white"/>
        </w:rPr>
      </w:pPr>
      <w:r>
        <w:rPr>
          <w:rFonts w:eastAsia="Calibri"/>
          <w:i/>
          <w:sz w:val="24"/>
          <w:szCs w:val="24"/>
        </w:rPr>
      </w:r>
      <w:r>
        <w:rPr>
          <w:rFonts w:eastAsia="Calibri"/>
          <w:i/>
          <w:sz w:val="24"/>
          <w:szCs w:val="24"/>
        </w:rPr>
        <w:t xml:space="preserve">ОКПД2 42.21.22.120 Выполнение работ по капитальному ремонту тепловой сети №01-33 ТК23 - ЦТП «Детская больница» по ул. Фрунзе – ул. Ключевая г. Артем, Приморский край с применением стеклопластиковой трубы, для Приморских тепловых сетей</w:t>
      </w:r>
      <w:r>
        <w:rPr>
          <w:rFonts w:eastAsia="Calibri"/>
          <w:i/>
          <w:sz w:val="24"/>
          <w:szCs w:val="24"/>
          <w:highlight w:val="white"/>
        </w:rPr>
        <w:t xml:space="preserve">.</w:t>
      </w:r>
      <w:r>
        <w:rPr>
          <w:rFonts w:eastAsia="Calibri"/>
          <w:i/>
          <w:highlight w:val="white"/>
        </w:rPr>
      </w:r>
      <w:r>
        <w:rPr>
          <w:rFonts w:eastAsia="Calibri"/>
          <w:i/>
          <w:highlight w:val="white"/>
        </w:rPr>
      </w:r>
    </w:p>
    <w:p>
      <w:pPr>
        <w:pStyle w:val="828"/>
        <w:rPr>
          <w:rStyle w:val="1021"/>
          <w:b/>
          <w:highlight w:val="white"/>
        </w:rPr>
      </w:pPr>
      <w:r>
        <w:rPr>
          <w:highlight w:val="white"/>
        </w:rPr>
        <w:t xml:space="preserve">Цель </w:t>
      </w:r>
      <w:r>
        <w:rPr>
          <w:highlight w:val="white"/>
        </w:rPr>
        <w:t xml:space="preserve">выполнения работ </w:t>
      </w:r>
      <w:r>
        <w:rPr>
          <w:rStyle w:val="1021"/>
          <w:b/>
          <w:highlight w:val="white"/>
        </w:rPr>
      </w:r>
      <w:r>
        <w:rPr>
          <w:rStyle w:val="1021"/>
          <w:b/>
          <w:highlight w:val="white"/>
        </w:rPr>
      </w:r>
    </w:p>
    <w:p>
      <w:pPr>
        <w:jc w:val="both"/>
        <w:spacing w:before="120" w:after="120"/>
        <w:widowControl w:val="off"/>
        <w:tabs>
          <w:tab w:val="left" w:pos="426" w:leader="none"/>
        </w:tabs>
        <w:rPr>
          <w:rFonts w:eastAsia="Calibri"/>
          <w:bCs/>
          <w:i/>
          <w:sz w:val="24"/>
          <w:szCs w:val="24"/>
          <w:highlight w:val="yellow"/>
        </w:rPr>
      </w:pPr>
      <w:r>
        <w:rPr>
          <w:rFonts w:eastAsia="Calibri"/>
          <w:i/>
          <w:sz w:val="24"/>
          <w:szCs w:val="24"/>
          <w:highlight w:val="white"/>
        </w:rPr>
      </w:r>
      <w:r>
        <w:rPr>
          <w:rFonts w:eastAsia="Calibri"/>
          <w:i/>
          <w:sz w:val="24"/>
          <w:szCs w:val="24"/>
          <w:highlight w:val="white"/>
        </w:rPr>
        <w:t xml:space="preserve">Ц</w:t>
      </w:r>
      <w:r>
        <w:rPr>
          <w:rFonts w:eastAsia="Calibri"/>
          <w:i/>
          <w:sz w:val="24"/>
          <w:szCs w:val="24"/>
          <w:highlight w:val="white"/>
        </w:rPr>
        <w:t xml:space="preserve">елью работы является реализация пилотного проекта по внедрению стеклопластиковой трубы на сетях СП «Приморские тепловые сети» АО «ДГК», работы по замене стальной трубы на стеклопластиковую планируется выполнить на участке тепловой сети №01-33 ТК23 - ЦТП «Д</w:t>
      </w:r>
      <w:r>
        <w:rPr>
          <w:rFonts w:eastAsia="Calibri"/>
          <w:i/>
          <w:sz w:val="24"/>
          <w:szCs w:val="24"/>
          <w:highlight w:val="white"/>
        </w:rPr>
        <w:t xml:space="preserve">етская больница» по ул. Фрунзе – ул. Ключевая г. Артем, Приморского края.</w:t>
      </w:r>
      <w:r>
        <w:rPr>
          <w:rFonts w:eastAsia="Calibri"/>
          <w:bCs/>
          <w:i/>
          <w:sz w:val="24"/>
          <w:szCs w:val="24"/>
          <w:highlight w:val="yellow"/>
        </w:rPr>
      </w:r>
      <w:r>
        <w:rPr>
          <w:rFonts w:eastAsia="Calibri"/>
          <w:bCs/>
          <w:i/>
          <w:sz w:val="24"/>
          <w:szCs w:val="24"/>
          <w:highlight w:val="yellow"/>
        </w:rPr>
      </w:r>
    </w:p>
    <w:p>
      <w:pPr>
        <w:pStyle w:val="825"/>
        <w:numPr>
          <w:ilvl w:val="0"/>
          <w:numId w:val="0"/>
        </w:numPr>
        <w:keepLines/>
        <w:spacing w:before="240"/>
        <w:rPr>
          <w:sz w:val="24"/>
          <w:szCs w:val="24"/>
        </w:rPr>
      </w:pPr>
      <w:r/>
      <w:bookmarkStart w:id="7" w:name="_Таблица_1."/>
      <w:r/>
      <w:bookmarkStart w:id="8" w:name="_Toc54646400"/>
      <w:r/>
      <w:bookmarkEnd w:id="7"/>
      <w:r>
        <w:rPr>
          <w:sz w:val="24"/>
          <w:szCs w:val="24"/>
        </w:rPr>
        <w:t xml:space="preserve">Таблица 1. Перечень объектов Заказчика</w:t>
      </w:r>
      <w:bookmarkEnd w:id="8"/>
      <w:r>
        <w:rPr>
          <w:sz w:val="24"/>
          <w:szCs w:val="24"/>
        </w:rPr>
      </w:r>
      <w:r>
        <w:rPr>
          <w:sz w:val="24"/>
          <w:szCs w:val="24"/>
        </w:rPr>
      </w:r>
    </w:p>
    <w:p>
      <w:pPr>
        <w:pStyle w:val="828"/>
        <w:numPr>
          <w:ilvl w:val="0"/>
          <w:numId w:val="0"/>
        </w:numPr>
      </w:pPr>
      <w:r/>
      <w:r/>
    </w:p>
    <w:tbl>
      <w:tblPr>
        <w:tblW w:w="102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083"/>
        <w:gridCol w:w="2284"/>
        <w:gridCol w:w="3882"/>
        <w:gridCol w:w="2974"/>
      </w:tblGrid>
      <w:tr>
        <w:tblPrEx/>
        <w:trPr>
          <w:trHeight w:val="1511"/>
        </w:trPr>
        <w:tc>
          <w:tcPr>
            <w:tcW w:w="1083" w:type="dxa"/>
            <w:textDirection w:val="lrTb"/>
            <w:noWrap w:val="false"/>
          </w:tcPr>
          <w:p>
            <w:pPr>
              <w:rPr>
                <w:sz w:val="24"/>
                <w:szCs w:val="24"/>
              </w:rPr>
            </w:pPr>
            <w:r>
              <w:rPr>
                <w:sz w:val="24"/>
                <w:szCs w:val="24"/>
              </w:rPr>
              <w:t xml:space="preserve">№</w:t>
            </w:r>
            <w:r>
              <w:rPr>
                <w:sz w:val="24"/>
                <w:szCs w:val="24"/>
              </w:rPr>
            </w:r>
            <w:r>
              <w:rPr>
                <w:sz w:val="24"/>
                <w:szCs w:val="24"/>
              </w:rPr>
            </w:r>
          </w:p>
          <w:p>
            <w:pPr>
              <w:rPr>
                <w:sz w:val="24"/>
                <w:szCs w:val="24"/>
              </w:rPr>
            </w:pPr>
            <w:r>
              <w:rPr>
                <w:sz w:val="24"/>
                <w:szCs w:val="24"/>
              </w:rPr>
              <w:t xml:space="preserve">п/п</w:t>
            </w:r>
            <w:r>
              <w:rPr>
                <w:sz w:val="24"/>
                <w:szCs w:val="24"/>
              </w:rPr>
            </w:r>
            <w:r>
              <w:rPr>
                <w:sz w:val="24"/>
                <w:szCs w:val="24"/>
              </w:rPr>
            </w:r>
          </w:p>
        </w:tc>
        <w:tc>
          <w:tcPr>
            <w:tcW w:w="2284" w:type="dxa"/>
            <w:textDirection w:val="lrTb"/>
            <w:noWrap w:val="false"/>
          </w:tcPr>
          <w:p>
            <w:pPr>
              <w:jc w:val="center"/>
              <w:rPr>
                <w:sz w:val="24"/>
                <w:szCs w:val="24"/>
              </w:rPr>
            </w:pPr>
            <w:r>
              <w:rPr>
                <w:sz w:val="24"/>
                <w:szCs w:val="24"/>
              </w:rPr>
              <w:t xml:space="preserve">Наименование объекта</w:t>
            </w:r>
            <w:r>
              <w:rPr>
                <w:sz w:val="24"/>
                <w:szCs w:val="24"/>
              </w:rPr>
            </w:r>
            <w:r>
              <w:rPr>
                <w:sz w:val="24"/>
                <w:szCs w:val="24"/>
              </w:rPr>
            </w:r>
          </w:p>
        </w:tc>
        <w:tc>
          <w:tcPr>
            <w:tcW w:w="3882" w:type="dxa"/>
            <w:textDirection w:val="lrTb"/>
            <w:noWrap w:val="false"/>
          </w:tcPr>
          <w:p>
            <w:pPr>
              <w:jc w:val="center"/>
              <w:rPr>
                <w:sz w:val="24"/>
                <w:szCs w:val="24"/>
              </w:rPr>
            </w:pPr>
            <w:r>
              <w:rPr>
                <w:sz w:val="24"/>
                <w:szCs w:val="24"/>
              </w:rPr>
              <w:t xml:space="preserve">Расположение объекта </w:t>
            </w:r>
            <w:r>
              <w:rPr>
                <w:sz w:val="24"/>
                <w:szCs w:val="24"/>
              </w:rPr>
              <w:br/>
            </w:r>
            <w:r>
              <w:rPr>
                <w:i/>
                <w:iCs/>
                <w:sz w:val="24"/>
                <w:szCs w:val="24"/>
              </w:rPr>
              <w:t xml:space="preserve">(место производства работ)</w:t>
            </w:r>
            <w:r>
              <w:rPr>
                <w:sz w:val="24"/>
                <w:szCs w:val="24"/>
              </w:rPr>
              <w:t xml:space="preserve"> </w:t>
            </w:r>
            <w:r>
              <w:rPr>
                <w:sz w:val="24"/>
                <w:szCs w:val="24"/>
              </w:rPr>
            </w:r>
            <w:r>
              <w:rPr>
                <w:sz w:val="24"/>
                <w:szCs w:val="24"/>
              </w:rPr>
            </w:r>
          </w:p>
        </w:tc>
        <w:tc>
          <w:tcPr>
            <w:tcW w:w="2974" w:type="dxa"/>
            <w:textDirection w:val="lrTb"/>
            <w:noWrap w:val="false"/>
          </w:tcPr>
          <w:p>
            <w:pPr>
              <w:jc w:val="center"/>
              <w:rPr>
                <w:sz w:val="24"/>
                <w:szCs w:val="24"/>
              </w:rPr>
            </w:pPr>
            <w:r>
              <w:rPr>
                <w:sz w:val="24"/>
                <w:szCs w:val="24"/>
              </w:rPr>
              <w:t xml:space="preserve">Наименование основного средства </w:t>
            </w:r>
            <w:r>
              <w:rPr>
                <w:sz w:val="24"/>
                <w:szCs w:val="24"/>
              </w:rPr>
              <w:br/>
              <w:t xml:space="preserve">(в отношении которого выполняются работы)</w:t>
            </w:r>
            <w:r>
              <w:rPr>
                <w:sz w:val="24"/>
                <w:szCs w:val="24"/>
              </w:rPr>
            </w:r>
            <w:r>
              <w:rPr>
                <w:sz w:val="24"/>
                <w:szCs w:val="24"/>
              </w:rPr>
            </w:r>
          </w:p>
        </w:tc>
      </w:tr>
      <w:tr>
        <w:tblPrEx/>
        <w:trPr>
          <w:trHeight w:val="211"/>
        </w:trPr>
        <w:tc>
          <w:tcPr>
            <w:tcW w:w="1083" w:type="dxa"/>
            <w:textDirection w:val="lrTb"/>
            <w:noWrap w:val="false"/>
          </w:tcPr>
          <w:p>
            <w:pPr>
              <w:jc w:val="center"/>
              <w:rPr>
                <w:b/>
                <w:sz w:val="24"/>
                <w:szCs w:val="24"/>
              </w:rPr>
            </w:pPr>
            <w:r>
              <w:rPr>
                <w:b/>
                <w:sz w:val="24"/>
                <w:szCs w:val="24"/>
              </w:rPr>
              <w:t xml:space="preserve">1</w:t>
            </w:r>
            <w:r>
              <w:rPr>
                <w:b/>
                <w:sz w:val="24"/>
                <w:szCs w:val="24"/>
              </w:rPr>
            </w:r>
            <w:r>
              <w:rPr>
                <w:b/>
                <w:sz w:val="24"/>
                <w:szCs w:val="24"/>
              </w:rPr>
            </w:r>
          </w:p>
        </w:tc>
        <w:tc>
          <w:tcPr>
            <w:tcW w:w="2284" w:type="dxa"/>
            <w:textDirection w:val="lrTb"/>
            <w:noWrap w:val="false"/>
          </w:tcPr>
          <w:p>
            <w:pPr>
              <w:jc w:val="center"/>
              <w:rPr>
                <w:b/>
                <w:sz w:val="24"/>
                <w:szCs w:val="24"/>
              </w:rPr>
            </w:pPr>
            <w:r>
              <w:rPr>
                <w:b/>
                <w:sz w:val="24"/>
                <w:szCs w:val="24"/>
              </w:rPr>
              <w:t xml:space="preserve">4</w:t>
            </w:r>
            <w:r>
              <w:rPr>
                <w:b/>
                <w:sz w:val="24"/>
                <w:szCs w:val="24"/>
              </w:rPr>
            </w:r>
            <w:r>
              <w:rPr>
                <w:b/>
                <w:sz w:val="24"/>
                <w:szCs w:val="24"/>
              </w:rPr>
            </w:r>
          </w:p>
        </w:tc>
        <w:tc>
          <w:tcPr>
            <w:tcW w:w="3882" w:type="dxa"/>
            <w:textDirection w:val="lrTb"/>
            <w:noWrap w:val="false"/>
          </w:tcPr>
          <w:p>
            <w:pPr>
              <w:jc w:val="center"/>
              <w:rPr>
                <w:b/>
                <w:sz w:val="24"/>
                <w:szCs w:val="24"/>
              </w:rPr>
            </w:pPr>
            <w:r>
              <w:rPr>
                <w:b/>
                <w:sz w:val="24"/>
                <w:szCs w:val="24"/>
              </w:rPr>
              <w:t xml:space="preserve">3</w:t>
            </w:r>
            <w:r>
              <w:rPr>
                <w:b/>
                <w:sz w:val="24"/>
                <w:szCs w:val="24"/>
              </w:rPr>
            </w:r>
            <w:r>
              <w:rPr>
                <w:b/>
                <w:sz w:val="24"/>
                <w:szCs w:val="24"/>
              </w:rPr>
            </w:r>
          </w:p>
        </w:tc>
        <w:tc>
          <w:tcPr>
            <w:tcW w:w="2974" w:type="dxa"/>
            <w:textDirection w:val="lrTb"/>
            <w:noWrap w:val="false"/>
          </w:tcPr>
          <w:p>
            <w:pPr>
              <w:jc w:val="center"/>
              <w:rPr>
                <w:b/>
                <w:sz w:val="24"/>
                <w:szCs w:val="24"/>
              </w:rPr>
            </w:pPr>
            <w:r>
              <w:rPr>
                <w:b/>
                <w:sz w:val="24"/>
                <w:szCs w:val="24"/>
              </w:rPr>
              <w:t xml:space="preserve">4</w:t>
            </w:r>
            <w:r>
              <w:rPr>
                <w:b/>
                <w:sz w:val="24"/>
                <w:szCs w:val="24"/>
              </w:rPr>
            </w:r>
            <w:r>
              <w:rPr>
                <w:b/>
                <w:sz w:val="24"/>
                <w:szCs w:val="24"/>
              </w:rPr>
            </w:r>
          </w:p>
        </w:tc>
      </w:tr>
      <w:tr>
        <w:tblPrEx/>
        <w:trPr>
          <w:trHeight w:val="1084"/>
        </w:trPr>
        <w:tc>
          <w:tcPr>
            <w:tcW w:w="1083" w:type="dxa"/>
            <w:textDirection w:val="lrTb"/>
            <w:noWrap w:val="false"/>
          </w:tcPr>
          <w:p>
            <w:pPr>
              <w:pStyle w:val="1024"/>
              <w:numPr>
                <w:ilvl w:val="0"/>
                <w:numId w:val="30"/>
              </w:numPr>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W w:w="2284" w:type="dxa"/>
            <w:vAlign w:val="center"/>
            <w:textDirection w:val="lrTb"/>
            <w:noWrap w:val="false"/>
          </w:tcPr>
          <w:p>
            <w:pPr>
              <w:rPr>
                <w:sz w:val="22"/>
                <w:szCs w:val="22"/>
                <w:highlight w:val="white"/>
              </w:rPr>
            </w:pPr>
            <w:r>
              <w:rPr>
                <w:sz w:val="22"/>
                <w:szCs w:val="22"/>
                <w:highlight w:val="white"/>
              </w:rPr>
              <w:t xml:space="preserve">Тепловая сеть №01-33 ТК23 – ЦТП «Детская больница» по ул. Фрунзе-ул. Ключевая</w:t>
            </w:r>
            <w:r>
              <w:rPr>
                <w:sz w:val="22"/>
                <w:szCs w:val="22"/>
                <w:highlight w:val="white"/>
              </w:rPr>
            </w:r>
            <w:r>
              <w:rPr>
                <w:sz w:val="22"/>
                <w:szCs w:val="22"/>
                <w:highlight w:val="white"/>
              </w:rPr>
            </w:r>
          </w:p>
        </w:tc>
        <w:tc>
          <w:tcPr>
            <w:shd w:val="clear" w:color="ffffff" w:fill="ffffff"/>
            <w:tcW w:w="3882" w:type="dxa"/>
            <w:vAlign w:val="center"/>
            <w:textDirection w:val="lrTb"/>
            <w:noWrap w:val="false"/>
          </w:tcPr>
          <w:p>
            <w:pPr>
              <w:jc w:val="center"/>
              <w:rPr>
                <w:rFonts w:ascii="Times New Roman" w:hAnsi="Times New Roman" w:cs="Times New Roman"/>
                <w:sz w:val="22"/>
                <w:szCs w:val="22"/>
                <w:highlight w:val="white"/>
              </w:rPr>
            </w:pPr>
            <w:r>
              <w:rPr>
                <w:rFonts w:ascii="Times New Roman" w:hAnsi="Times New Roman" w:eastAsia="Times New Roman" w:cs="Times New Roman"/>
                <w:i w:val="0"/>
                <w:iCs w:val="0"/>
                <w:sz w:val="22"/>
                <w:szCs w:val="22"/>
                <w:highlight w:val="white"/>
              </w:rPr>
              <w:t xml:space="preserve">СП «Приморские тепловые сети» АО «ДГК» (СП «ПТС» АО ДГК») Российская Федерация, Приморский Край,</w:t>
            </w:r>
            <w:r>
              <w:rPr>
                <w:rFonts w:ascii="Times New Roman" w:hAnsi="Times New Roman" w:eastAsia="Times New Roman" w:cs="Times New Roman"/>
                <w:i w:val="0"/>
                <w:iCs w:val="0"/>
                <w:sz w:val="22"/>
                <w:szCs w:val="22"/>
                <w:highlight w:val="white"/>
              </w:rPr>
              <w:t xml:space="preserve"> г. Артем, </w:t>
            </w:r>
            <w:r>
              <w:rPr>
                <w:rFonts w:ascii="Times New Roman" w:hAnsi="Times New Roman" w:eastAsia="Times New Roman" w:cs="Times New Roman"/>
                <w:i w:val="0"/>
                <w:iCs w:val="0"/>
                <w:sz w:val="22"/>
                <w:szCs w:val="22"/>
                <w:highlight w:val="white"/>
              </w:rPr>
              <w:t xml:space="preserve">ул. Фрунзе-ул. Ключевая</w:t>
            </w:r>
            <w:r>
              <w:rPr>
                <w:rFonts w:ascii="Times New Roman" w:hAnsi="Times New Roman" w:cs="Times New Roman"/>
                <w:sz w:val="22"/>
                <w:szCs w:val="22"/>
                <w:highlight w:val="white"/>
              </w:rPr>
            </w:r>
            <w:r>
              <w:rPr>
                <w:rFonts w:ascii="Times New Roman" w:hAnsi="Times New Roman" w:cs="Times New Roman"/>
                <w:sz w:val="22"/>
                <w:szCs w:val="22"/>
                <w:highlight w:val="white"/>
              </w:rPr>
            </w:r>
          </w:p>
          <w:p>
            <w:pPr>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W w:w="2974" w:type="dxa"/>
            <w:vAlign w:val="center"/>
            <w:textDirection w:val="lrTb"/>
            <w:noWrap w:val="false"/>
          </w:tcPr>
          <w:p>
            <w:pPr>
              <w:rPr>
                <w:sz w:val="22"/>
                <w:szCs w:val="22"/>
                <w:highlight w:val="white"/>
              </w:rPr>
            </w:pPr>
            <w:r>
              <w:rPr>
                <w:sz w:val="22"/>
                <w:szCs w:val="22"/>
                <w:highlight w:val="white"/>
              </w:rPr>
            </w:r>
            <w:r>
              <w:rPr>
                <w:sz w:val="22"/>
                <w:szCs w:val="22"/>
                <w:highlight w:val="white"/>
              </w:rPr>
              <w:t xml:space="preserve">Теплотрасса, г. Артем, протяженность 3997,2 м</w:t>
            </w:r>
            <w:r>
              <w:rPr>
                <w:sz w:val="22"/>
                <w:szCs w:val="22"/>
                <w:highlight w:val="white"/>
              </w:rPr>
              <w:t xml:space="preserve"> (инв. №</w:t>
            </w:r>
            <w:r>
              <w:rPr>
                <w:sz w:val="22"/>
                <w:szCs w:val="22"/>
                <w:highlight w:val="white"/>
              </w:rPr>
              <w:t xml:space="preserve">00000000000000034954)</w:t>
            </w:r>
            <w:r>
              <w:rPr>
                <w:sz w:val="22"/>
                <w:szCs w:val="22"/>
                <w:highlight w:val="white"/>
              </w:rPr>
            </w:r>
            <w:r>
              <w:rPr>
                <w:sz w:val="22"/>
                <w:szCs w:val="22"/>
                <w:highlight w:val="white"/>
              </w:rPr>
            </w:r>
          </w:p>
        </w:tc>
      </w:tr>
    </w:tbl>
    <w:p>
      <w:r/>
      <w:r/>
    </w:p>
    <w:p>
      <w:pPr>
        <w:pStyle w:val="828"/>
        <w:jc w:val="both"/>
        <w:rPr>
          <w:rStyle w:val="1021"/>
          <w:b/>
          <w:highlight w:val="white"/>
        </w:rPr>
      </w:pPr>
      <w:r/>
      <w:bookmarkStart w:id="9" w:name="_Toc129956736"/>
      <w:r>
        <w:rPr>
          <w:highlight w:val="white"/>
        </w:rPr>
        <w:t xml:space="preserve">Информация в отношении исполнения договора, </w:t>
      </w:r>
      <w:bookmarkStart w:id="10" w:name="_Hlk46492347"/>
      <w:r>
        <w:rPr>
          <w:highlight w:val="white"/>
        </w:rPr>
        <w:t xml:space="preserve">которая должна быть учтена при подготовке заявки </w:t>
      </w:r>
      <w:bookmarkEnd w:id="10"/>
      <w:r>
        <w:rPr>
          <w:highlight w:val="white"/>
        </w:rPr>
        <w:t xml:space="preserve">(в том числе перечень ресурсов, услуг и документов, предоставляемых заказчиком на этапе исполнения договора)</w:t>
      </w:r>
      <w:bookmarkEnd w:id="9"/>
      <w:r>
        <w:rPr>
          <w:highlight w:val="white"/>
        </w:rPr>
        <w:t xml:space="preserve"> </w:t>
      </w:r>
      <w:r>
        <w:rPr>
          <w:rStyle w:val="1021"/>
          <w:b/>
          <w:highlight w:val="white"/>
        </w:rPr>
      </w:r>
      <w:r>
        <w:rPr>
          <w:rStyle w:val="1021"/>
          <w:b/>
          <w:highlight w:val="white"/>
        </w:rPr>
      </w:r>
    </w:p>
    <w:p>
      <w:pPr>
        <w:pStyle w:val="827"/>
        <w:numPr>
          <w:ilvl w:val="0"/>
          <w:numId w:val="0"/>
        </w:numPr>
        <w:rPr>
          <w:highlight w:val="white"/>
        </w:rPr>
      </w:pPr>
      <w:r/>
      <w:bookmarkStart w:id="11" w:name="_Toc129956737"/>
      <w:r>
        <w:rPr>
          <w:highlight w:val="white"/>
        </w:rPr>
        <w:t xml:space="preserve">1.4.1 Заказчик предоставит Подрядчику:</w:t>
      </w:r>
      <w:bookmarkEnd w:id="11"/>
      <w:r>
        <w:rPr>
          <w:highlight w:val="white"/>
        </w:rPr>
      </w:r>
      <w:r>
        <w:rPr>
          <w:highlight w:val="white"/>
        </w:rPr>
      </w:r>
    </w:p>
    <w:p>
      <w:pPr>
        <w:pStyle w:val="1024"/>
        <w:numPr>
          <w:ilvl w:val="0"/>
          <w:numId w:val="31"/>
        </w:numPr>
        <w:jc w:val="both"/>
        <w:rPr>
          <w:highlight w:val="white"/>
        </w:rPr>
      </w:pPr>
      <w:r>
        <w:t xml:space="preserve">Т</w:t>
      </w:r>
      <w:r>
        <w:t xml:space="preserve">ехническую и иную документацию, содержащую исходные данные для выполнения </w:t>
      </w:r>
      <w:r>
        <w:rPr>
          <w:highlight w:val="white"/>
        </w:rPr>
        <w:t xml:space="preserve">Подрядчиком Работ</w:t>
      </w:r>
      <w:r>
        <w:rPr>
          <w:highlight w:val="white"/>
        </w:rPr>
        <w:t xml:space="preserve"> (</w:t>
      </w:r>
      <w:r>
        <w:rPr>
          <w:highlight w:val="white"/>
        </w:rPr>
        <w:t xml:space="preserve">После письменного запроса Подрядчика</w:t>
      </w:r>
      <w:r>
        <w:rPr>
          <w:highlight w:val="white"/>
        </w:rPr>
        <w:t xml:space="preserve">);</w:t>
      </w:r>
      <w:r>
        <w:rPr>
          <w:highlight w:val="white"/>
        </w:rPr>
      </w:r>
      <w:r>
        <w:rPr>
          <w:highlight w:val="white"/>
        </w:rPr>
      </w:r>
    </w:p>
    <w:p>
      <w:pPr>
        <w:pStyle w:val="1024"/>
        <w:numPr>
          <w:ilvl w:val="0"/>
          <w:numId w:val="31"/>
        </w:numPr>
        <w:jc w:val="both"/>
        <w:rPr>
          <w:highlight w:val="white"/>
        </w:rPr>
      </w:pPr>
      <w:r>
        <w:rPr>
          <w:highlight w:val="white"/>
        </w:rPr>
        <w:t xml:space="preserve">В</w:t>
      </w:r>
      <w:r>
        <w:rPr>
          <w:highlight w:val="white"/>
        </w:rPr>
        <w:t xml:space="preserve">озможность подключения к имеющимся бытовым источникам электроснабжения, водоснабжения, канализации для целей выполнения Работ по Договору</w:t>
      </w:r>
      <w:r>
        <w:rPr>
          <w:highlight w:val="white"/>
        </w:rPr>
        <w:t xml:space="preserve"> (п</w:t>
      </w:r>
      <w:r>
        <w:rPr>
          <w:highlight w:val="white"/>
        </w:rPr>
        <w:t xml:space="preserve">ри наличии техн</w:t>
      </w:r>
      <w:r>
        <w:rPr>
          <w:highlight w:val="white"/>
        </w:rPr>
        <w:t xml:space="preserve">ической возможности у Заказчика).</w:t>
      </w:r>
      <w:r>
        <w:rPr>
          <w:highlight w:val="white"/>
        </w:rPr>
      </w:r>
      <w:r>
        <w:rPr>
          <w:highlight w:val="white"/>
        </w:rPr>
      </w:r>
    </w:p>
    <w:p>
      <w:pPr>
        <w:pStyle w:val="828"/>
        <w:ind w:left="-142" w:right="0" w:firstLine="142"/>
      </w:pPr>
      <w:r>
        <w:t xml:space="preserve">Иные требования и сведения общего характера</w:t>
      </w:r>
      <w:r>
        <w:t xml:space="preserve">.</w:t>
      </w:r>
      <w:r/>
    </w:p>
    <w:p>
      <w:pPr>
        <w:ind w:firstLine="567"/>
        <w:jc w:val="both"/>
        <w:spacing w:before="120" w:after="120"/>
        <w:widowControl w:val="off"/>
        <w:tabs>
          <w:tab w:val="left" w:pos="426" w:leader="none"/>
        </w:tabs>
        <w:rPr>
          <w:sz w:val="23"/>
          <w:szCs w:val="23"/>
        </w:rPr>
      </w:pPr>
      <w:r>
        <w:rPr>
          <w:sz w:val="23"/>
          <w:szCs w:val="23"/>
        </w:rPr>
        <w:t xml:space="preserve">Перед началом выполнения работ Подрядчик должен передать в Управление градостроительства и архитектуры заявку на о</w:t>
      </w:r>
      <w:r>
        <w:rPr>
          <w:sz w:val="23"/>
          <w:szCs w:val="23"/>
        </w:rPr>
        <w:t xml:space="preserve">ткрытие разрешения (ордера) на производство земляных работ. Подрядчик несёт ответственность за сохранность благоустройства территории, прилегающей к отведённым для производства работ земельных участков, а также за последствия не закрытия разрешения в срок.</w:t>
      </w:r>
      <w:r>
        <w:rPr>
          <w:sz w:val="23"/>
          <w:szCs w:val="23"/>
        </w:rPr>
      </w:r>
      <w:r>
        <w:rPr>
          <w:sz w:val="23"/>
          <w:szCs w:val="23"/>
        </w:rPr>
      </w:r>
    </w:p>
    <w:p>
      <w:pPr>
        <w:pStyle w:val="825"/>
        <w:ind w:left="357" w:hanging="357"/>
        <w:jc w:val="center"/>
        <w:keepLines/>
        <w:rPr>
          <w:iCs/>
          <w:caps/>
        </w:rPr>
      </w:pPr>
      <w:r>
        <w:rPr>
          <w:iCs/>
        </w:rPr>
        <w:t xml:space="preserve">Требования к продукции</w:t>
      </w:r>
      <w:r>
        <w:rPr>
          <w:iCs/>
          <w:caps/>
        </w:rPr>
      </w:r>
      <w:r>
        <w:rPr>
          <w:iCs/>
          <w:caps/>
        </w:rPr>
      </w:r>
    </w:p>
    <w:p>
      <w:pPr>
        <w:pStyle w:val="828"/>
      </w:pPr>
      <w:r/>
      <w:bookmarkStart w:id="12" w:name="_Toc54646404"/>
      <w:r>
        <w:t xml:space="preserve">Требования к объемам и срокам выполнения работ</w:t>
      </w:r>
      <w:bookmarkEnd w:id="12"/>
      <w:r/>
      <w:r/>
    </w:p>
    <w:p>
      <w:pPr>
        <w:pStyle w:val="827"/>
      </w:pPr>
      <w:r/>
      <w:bookmarkStart w:id="13" w:name="_Toc54646405"/>
      <w:r>
        <w:t xml:space="preserve">Требования к видам и объемам работ</w:t>
      </w:r>
      <w:bookmarkEnd w:id="13"/>
      <w:r/>
      <w:r/>
    </w:p>
    <w:p>
      <w:pPr>
        <w:pStyle w:val="825"/>
        <w:numPr>
          <w:ilvl w:val="0"/>
          <w:numId w:val="0"/>
        </w:numPr>
        <w:keepLines/>
        <w:spacing w:before="240"/>
        <w:rPr>
          <w:sz w:val="24"/>
          <w:szCs w:val="24"/>
        </w:rPr>
      </w:pPr>
      <w:r/>
      <w:bookmarkStart w:id="14" w:name="_Toc51339695"/>
      <w:r/>
      <w:bookmarkStart w:id="15" w:name="_Toc54646406"/>
      <w:r>
        <w:rPr>
          <w:sz w:val="24"/>
          <w:szCs w:val="24"/>
        </w:rPr>
        <w:t xml:space="preserve">Таблица 2. Перечень </w:t>
      </w:r>
      <w:bookmarkEnd w:id="14"/>
      <w:r>
        <w:rPr>
          <w:sz w:val="24"/>
          <w:szCs w:val="24"/>
        </w:rPr>
        <w:t xml:space="preserve">и объем выполняемых работ</w:t>
      </w:r>
      <w:bookmarkEnd w:id="15"/>
      <w:r>
        <w:rPr>
          <w:sz w:val="24"/>
          <w:szCs w:val="24"/>
        </w:rPr>
      </w:r>
      <w:r>
        <w:rPr>
          <w:sz w:val="24"/>
          <w:szCs w:val="24"/>
        </w:rPr>
      </w:r>
    </w:p>
    <w:tbl>
      <w:tblPr>
        <w:tblW w:w="98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50"/>
        <w:gridCol w:w="4707"/>
        <w:gridCol w:w="2127"/>
        <w:gridCol w:w="2126"/>
      </w:tblGrid>
      <w:tr>
        <w:tblPrEx/>
        <w:trPr/>
        <w:tc>
          <w:tcPr>
            <w:tcW w:w="850" w:type="dxa"/>
            <w:vAlign w:val="center"/>
            <w:textDirection w:val="lrTb"/>
            <w:noWrap w:val="false"/>
          </w:tcPr>
          <w:p>
            <w:pPr>
              <w:jc w:val="center"/>
              <w:keepNext/>
              <w:rPr>
                <w:sz w:val="24"/>
                <w:szCs w:val="24"/>
              </w:rPr>
            </w:pPr>
            <w:r>
              <w:rPr>
                <w:sz w:val="24"/>
                <w:szCs w:val="24"/>
              </w:rPr>
              <w:t xml:space="preserve">№</w:t>
            </w:r>
            <w:r>
              <w:rPr>
                <w:sz w:val="24"/>
                <w:szCs w:val="24"/>
              </w:rPr>
            </w:r>
            <w:r>
              <w:rPr>
                <w:sz w:val="24"/>
                <w:szCs w:val="24"/>
              </w:rPr>
            </w:r>
          </w:p>
          <w:p>
            <w:pPr>
              <w:jc w:val="center"/>
              <w:keepNext/>
              <w:rPr>
                <w:sz w:val="24"/>
                <w:szCs w:val="24"/>
              </w:rPr>
            </w:pPr>
            <w:r>
              <w:rPr>
                <w:sz w:val="24"/>
                <w:szCs w:val="24"/>
              </w:rPr>
              <w:t xml:space="preserve">п</w:t>
            </w:r>
            <w:r>
              <w:rPr>
                <w:sz w:val="24"/>
                <w:szCs w:val="24"/>
              </w:rPr>
              <w:t xml:space="preserve">/п</w:t>
            </w:r>
            <w:r>
              <w:rPr>
                <w:sz w:val="24"/>
                <w:szCs w:val="24"/>
              </w:rPr>
            </w:r>
            <w:r>
              <w:rPr>
                <w:sz w:val="24"/>
                <w:szCs w:val="24"/>
              </w:rPr>
            </w:r>
          </w:p>
        </w:tc>
        <w:tc>
          <w:tcPr>
            <w:tcW w:w="4707" w:type="dxa"/>
            <w:vAlign w:val="center"/>
            <w:textDirection w:val="lrTb"/>
            <w:noWrap w:val="false"/>
          </w:tcPr>
          <w:p>
            <w:pPr>
              <w:jc w:val="center"/>
              <w:keepNext/>
              <w:rPr>
                <w:sz w:val="24"/>
                <w:szCs w:val="24"/>
              </w:rPr>
            </w:pPr>
            <w:r>
              <w:rPr>
                <w:sz w:val="24"/>
                <w:szCs w:val="24"/>
              </w:rPr>
              <w:t xml:space="preserve">Наименование работ </w:t>
            </w:r>
            <w:r>
              <w:rPr>
                <w:sz w:val="24"/>
                <w:szCs w:val="24"/>
              </w:rPr>
            </w:r>
            <w:r>
              <w:rPr>
                <w:sz w:val="24"/>
                <w:szCs w:val="24"/>
              </w:rPr>
            </w:r>
          </w:p>
        </w:tc>
        <w:tc>
          <w:tcPr>
            <w:tcW w:w="2127" w:type="dxa"/>
            <w:vAlign w:val="center"/>
            <w:textDirection w:val="lrTb"/>
            <w:noWrap w:val="false"/>
          </w:tcPr>
          <w:p>
            <w:pPr>
              <w:jc w:val="center"/>
              <w:keepNext/>
              <w:rPr>
                <w:sz w:val="24"/>
                <w:szCs w:val="24"/>
              </w:rPr>
            </w:pPr>
            <w:r>
              <w:rPr>
                <w:sz w:val="24"/>
                <w:szCs w:val="24"/>
              </w:rPr>
              <w:t xml:space="preserve">Единица измерения</w:t>
            </w:r>
            <w:r>
              <w:rPr>
                <w:sz w:val="24"/>
                <w:szCs w:val="24"/>
              </w:rPr>
            </w:r>
            <w:r>
              <w:rPr>
                <w:sz w:val="24"/>
                <w:szCs w:val="24"/>
              </w:rPr>
            </w:r>
          </w:p>
        </w:tc>
        <w:tc>
          <w:tcPr>
            <w:tcW w:w="2126" w:type="dxa"/>
            <w:vAlign w:val="center"/>
            <w:textDirection w:val="lrTb"/>
            <w:noWrap w:val="false"/>
          </w:tcPr>
          <w:p>
            <w:pPr>
              <w:jc w:val="center"/>
              <w:keepNext/>
              <w:rPr>
                <w:sz w:val="24"/>
                <w:szCs w:val="24"/>
              </w:rPr>
            </w:pPr>
            <w:r>
              <w:rPr>
                <w:sz w:val="24"/>
                <w:szCs w:val="24"/>
              </w:rPr>
              <w:t xml:space="preserve">Количество</w:t>
            </w:r>
            <w:r>
              <w:rPr>
                <w:sz w:val="24"/>
                <w:szCs w:val="24"/>
              </w:rPr>
            </w:r>
            <w:r>
              <w:rPr>
                <w:sz w:val="24"/>
                <w:szCs w:val="24"/>
              </w:rPr>
            </w:r>
          </w:p>
        </w:tc>
      </w:tr>
      <w:tr>
        <w:tblPrEx/>
        <w:trPr/>
        <w:tc>
          <w:tcPr>
            <w:tcW w:w="850" w:type="dxa"/>
            <w:textDirection w:val="lrTb"/>
            <w:noWrap w:val="false"/>
          </w:tcPr>
          <w:p>
            <w:pPr>
              <w:jc w:val="center"/>
              <w:rPr>
                <w:b/>
                <w:sz w:val="24"/>
                <w:szCs w:val="24"/>
              </w:rPr>
            </w:pPr>
            <w:r>
              <w:rPr>
                <w:b/>
                <w:sz w:val="24"/>
                <w:szCs w:val="24"/>
              </w:rPr>
              <w:t xml:space="preserve">1</w:t>
            </w:r>
            <w:r>
              <w:rPr>
                <w:b/>
                <w:sz w:val="24"/>
                <w:szCs w:val="24"/>
              </w:rPr>
            </w:r>
            <w:r>
              <w:rPr>
                <w:b/>
                <w:sz w:val="24"/>
                <w:szCs w:val="24"/>
              </w:rPr>
            </w:r>
          </w:p>
        </w:tc>
        <w:tc>
          <w:tcPr>
            <w:tcW w:w="4707" w:type="dxa"/>
            <w:textDirection w:val="lrTb"/>
            <w:noWrap w:val="false"/>
          </w:tcPr>
          <w:p>
            <w:pPr>
              <w:jc w:val="center"/>
              <w:rPr>
                <w:b/>
                <w:sz w:val="24"/>
                <w:szCs w:val="24"/>
              </w:rPr>
            </w:pPr>
            <w:r>
              <w:rPr>
                <w:b/>
                <w:sz w:val="24"/>
                <w:szCs w:val="24"/>
              </w:rPr>
              <w:t xml:space="preserve">2</w:t>
            </w:r>
            <w:r>
              <w:rPr>
                <w:b/>
                <w:sz w:val="24"/>
                <w:szCs w:val="24"/>
              </w:rPr>
            </w:r>
            <w:r>
              <w:rPr>
                <w:b/>
                <w:sz w:val="24"/>
                <w:szCs w:val="24"/>
              </w:rPr>
            </w:r>
          </w:p>
        </w:tc>
        <w:tc>
          <w:tcPr>
            <w:tcW w:w="2127" w:type="dxa"/>
            <w:textDirection w:val="lrTb"/>
            <w:noWrap w:val="false"/>
          </w:tcPr>
          <w:p>
            <w:pPr>
              <w:jc w:val="center"/>
              <w:rPr>
                <w:b/>
                <w:sz w:val="24"/>
                <w:szCs w:val="24"/>
              </w:rPr>
            </w:pPr>
            <w:r>
              <w:rPr>
                <w:b/>
                <w:sz w:val="24"/>
                <w:szCs w:val="24"/>
              </w:rPr>
              <w:t xml:space="preserve">3</w:t>
            </w:r>
            <w:r>
              <w:rPr>
                <w:b/>
                <w:sz w:val="24"/>
                <w:szCs w:val="24"/>
              </w:rPr>
            </w:r>
            <w:r>
              <w:rPr>
                <w:b/>
                <w:sz w:val="24"/>
                <w:szCs w:val="24"/>
              </w:rPr>
            </w:r>
          </w:p>
        </w:tc>
        <w:tc>
          <w:tcPr>
            <w:tcW w:w="2126" w:type="dxa"/>
            <w:textDirection w:val="lrTb"/>
            <w:noWrap w:val="false"/>
          </w:tcPr>
          <w:p>
            <w:pPr>
              <w:jc w:val="center"/>
              <w:rPr>
                <w:b/>
                <w:sz w:val="24"/>
                <w:szCs w:val="24"/>
              </w:rPr>
            </w:pPr>
            <w:r>
              <w:rPr>
                <w:b/>
                <w:sz w:val="24"/>
                <w:szCs w:val="24"/>
              </w:rPr>
              <w:t xml:space="preserve">4</w:t>
            </w:r>
            <w:r>
              <w:rPr>
                <w:b/>
                <w:sz w:val="24"/>
                <w:szCs w:val="24"/>
              </w:rPr>
            </w:r>
            <w:r>
              <w:rPr>
                <w:b/>
                <w:sz w:val="24"/>
                <w:szCs w:val="24"/>
              </w:rPr>
            </w:r>
          </w:p>
        </w:tc>
      </w:tr>
      <w:tr>
        <w:tblPrEx/>
        <w:trPr/>
        <w:tc>
          <w:tcPr>
            <w:tcW w:w="850" w:type="dxa"/>
            <w:textDirection w:val="lrTb"/>
            <w:noWrap w:val="false"/>
          </w:tcPr>
          <w:p>
            <w:pPr>
              <w:pStyle w:val="1024"/>
              <w:numPr>
                <w:ilvl w:val="0"/>
                <w:numId w:val="4"/>
              </w:numPr>
            </w:pPr>
            <w:r/>
            <w:r/>
          </w:p>
        </w:tc>
        <w:tc>
          <w:tcPr>
            <w:tcW w:w="4707" w:type="dxa"/>
            <w:textDirection w:val="lrTb"/>
            <w:noWrap w:val="false"/>
          </w:tcPr>
          <w:p>
            <w:pPr>
              <w:rPr>
                <w:sz w:val="24"/>
                <w:szCs w:val="24"/>
              </w:rPr>
            </w:pPr>
            <w:r>
              <w:rPr>
                <w:sz w:val="24"/>
              </w:rPr>
            </w:r>
            <w:r>
              <w:rPr>
                <w:sz w:val="24"/>
              </w:rPr>
              <w:t xml:space="preserve">ОКПД2 42.21.22.120 Выполнение работ по капитальному ремонту тепловой сети №01-33 ТК23 - ЦТП «Детская больница» по ул. Фрунзе – ул. Ключевая г. Артем, Приморский край с применением стеклопластиковой трубы, для Приморских тепловых сетей</w:t>
            </w:r>
            <w:r>
              <w:rPr>
                <w:sz w:val="24"/>
                <w:szCs w:val="24"/>
              </w:rPr>
            </w:r>
            <w:r>
              <w:rPr>
                <w:sz w:val="24"/>
                <w:szCs w:val="24"/>
              </w:rPr>
            </w:r>
          </w:p>
        </w:tc>
        <w:tc>
          <w:tcPr>
            <w:gridSpan w:val="2"/>
            <w:tcW w:w="4253" w:type="dxa"/>
            <w:textDirection w:val="lrTb"/>
            <w:noWrap w:val="false"/>
          </w:tcPr>
          <w:p>
            <w:pPr>
              <w:jc w:val="center"/>
              <w:rPr>
                <w:i/>
                <w:sz w:val="24"/>
                <w:szCs w:val="24"/>
              </w:rPr>
            </w:pPr>
            <w:r>
              <w:rPr>
                <w:i/>
                <w:iCs/>
                <w:sz w:val="24"/>
                <w:szCs w:val="24"/>
              </w:rPr>
              <w:t xml:space="preserve">В соответствии с ведомостью объемов работ (Приложение №2</w:t>
            </w:r>
            <w:r>
              <w:rPr>
                <w:i/>
                <w:iCs/>
                <w:sz w:val="24"/>
                <w:szCs w:val="24"/>
              </w:rPr>
              <w:t xml:space="preserve"> к </w:t>
            </w:r>
            <w:r>
              <w:rPr>
                <w:i/>
                <w:iCs/>
                <w:sz w:val="24"/>
                <w:szCs w:val="24"/>
              </w:rPr>
              <w:t xml:space="preserve">ТТ</w:t>
            </w:r>
            <w:r>
              <w:rPr>
                <w:i/>
                <w:iCs/>
                <w:sz w:val="24"/>
                <w:szCs w:val="24"/>
              </w:rPr>
              <w:t xml:space="preserve">)</w:t>
            </w:r>
            <w:r>
              <w:rPr>
                <w:i/>
                <w:sz w:val="24"/>
                <w:szCs w:val="24"/>
              </w:rPr>
            </w:r>
            <w:r>
              <w:rPr>
                <w:i/>
                <w:sz w:val="24"/>
                <w:szCs w:val="24"/>
              </w:rPr>
            </w:r>
          </w:p>
        </w:tc>
      </w:tr>
    </w:tbl>
    <w:p>
      <w:pPr>
        <w:pStyle w:val="827"/>
        <w:numPr>
          <w:ilvl w:val="0"/>
          <w:numId w:val="0"/>
        </w:numPr>
        <w:ind w:left="1224"/>
      </w:pPr>
      <w:r/>
      <w:bookmarkStart w:id="16" w:name="_Toc51339696"/>
      <w:r/>
      <w:bookmarkStart w:id="17" w:name="_Toc54646407"/>
      <w:r/>
      <w:r/>
    </w:p>
    <w:p>
      <w:pPr>
        <w:pStyle w:val="827"/>
      </w:pPr>
      <w:r>
        <w:t xml:space="preserve">Требования </w:t>
      </w:r>
      <w:bookmarkEnd w:id="16"/>
      <w:r>
        <w:t xml:space="preserve">к срокам выполнения работ</w:t>
      </w:r>
      <w:bookmarkEnd w:id="17"/>
      <w:r/>
      <w:r/>
    </w:p>
    <w:p>
      <w:pPr>
        <w:pStyle w:val="825"/>
        <w:numPr>
          <w:ilvl w:val="0"/>
          <w:numId w:val="0"/>
        </w:numPr>
        <w:keepLines/>
        <w:spacing w:before="240"/>
        <w:rPr>
          <w:sz w:val="24"/>
          <w:szCs w:val="24"/>
        </w:rPr>
      </w:pPr>
      <w:r/>
      <w:bookmarkStart w:id="18" w:name="_Toc50125127"/>
      <w:r/>
      <w:bookmarkStart w:id="19" w:name="_Toc51339697"/>
      <w:r/>
      <w:bookmarkStart w:id="20" w:name="_Toc54646408"/>
      <w:r>
        <w:rPr>
          <w:sz w:val="24"/>
          <w:szCs w:val="24"/>
        </w:rPr>
        <w:t xml:space="preserve">Таблица 3. </w:t>
      </w:r>
      <w:bookmarkStart w:id="21" w:name="_Hlk50465284"/>
      <w:r>
        <w:rPr>
          <w:sz w:val="24"/>
          <w:szCs w:val="24"/>
        </w:rPr>
        <w:t xml:space="preserve">Требования по срокам </w:t>
      </w:r>
      <w:bookmarkEnd w:id="18"/>
      <w:r/>
      <w:bookmarkEnd w:id="19"/>
      <w:r/>
      <w:bookmarkEnd w:id="21"/>
      <w:r>
        <w:rPr>
          <w:sz w:val="24"/>
          <w:szCs w:val="24"/>
        </w:rPr>
        <w:t xml:space="preserve">выполнения работ</w:t>
      </w:r>
      <w:bookmarkEnd w:id="20"/>
      <w:r>
        <w:rPr>
          <w:sz w:val="24"/>
          <w:szCs w:val="24"/>
        </w:rPr>
      </w:r>
      <w:r>
        <w:rPr>
          <w:sz w:val="24"/>
          <w:szCs w:val="24"/>
        </w:rPr>
      </w:r>
    </w:p>
    <w:tbl>
      <w:tblPr>
        <w:tblW w:w="9781"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963"/>
        <w:gridCol w:w="2581"/>
        <w:gridCol w:w="2977"/>
        <w:gridCol w:w="3260"/>
      </w:tblGrid>
      <w:tr>
        <w:tblPrEx/>
        <w:trPr/>
        <w:tc>
          <w:tcPr>
            <w:shd w:val="clear" w:color="auto" w:fill="auto"/>
            <w:tcW w:w="963" w:type="dxa"/>
            <w:vAlign w:val="center"/>
            <w:textDirection w:val="lrTb"/>
            <w:noWrap w:val="false"/>
          </w:tcPr>
          <w:p>
            <w:pPr>
              <w:jc w:val="center"/>
              <w:rPr>
                <w:sz w:val="24"/>
                <w:szCs w:val="24"/>
              </w:rPr>
            </w:pPr>
            <w:r>
              <w:rPr>
                <w:sz w:val="24"/>
                <w:szCs w:val="24"/>
              </w:rPr>
              <w:t xml:space="preserve">№ </w:t>
            </w:r>
            <w:r>
              <w:rPr>
                <w:sz w:val="24"/>
                <w:szCs w:val="24"/>
              </w:rPr>
              <w:t xml:space="preserve">п</w:t>
            </w:r>
            <w:r>
              <w:rPr>
                <w:sz w:val="24"/>
                <w:szCs w:val="24"/>
              </w:rPr>
              <w:t xml:space="preserve">/п</w:t>
            </w:r>
            <w:r>
              <w:rPr>
                <w:sz w:val="24"/>
                <w:szCs w:val="24"/>
              </w:rPr>
            </w:r>
            <w:r>
              <w:rPr>
                <w:sz w:val="24"/>
                <w:szCs w:val="24"/>
              </w:rPr>
            </w:r>
          </w:p>
        </w:tc>
        <w:tc>
          <w:tcPr>
            <w:shd w:val="clear" w:color="auto" w:fill="auto"/>
            <w:tcW w:w="2581" w:type="dxa"/>
            <w:vAlign w:val="center"/>
            <w:textDirection w:val="lrTb"/>
            <w:noWrap w:val="false"/>
          </w:tcPr>
          <w:p>
            <w:pPr>
              <w:jc w:val="center"/>
              <w:rPr>
                <w:sz w:val="24"/>
                <w:szCs w:val="24"/>
              </w:rPr>
            </w:pPr>
            <w:r>
              <w:rPr>
                <w:sz w:val="24"/>
                <w:szCs w:val="24"/>
              </w:rPr>
              <w:t xml:space="preserve">Наименование работ</w:t>
            </w:r>
            <w:r>
              <w:rPr>
                <w:sz w:val="24"/>
                <w:szCs w:val="24"/>
              </w:rPr>
            </w:r>
            <w:r>
              <w:rPr>
                <w:sz w:val="24"/>
                <w:szCs w:val="24"/>
              </w:rPr>
            </w:r>
          </w:p>
        </w:tc>
        <w:tc>
          <w:tcPr>
            <w:tcW w:w="2977" w:type="dxa"/>
            <w:textDirection w:val="lrTb"/>
            <w:noWrap w:val="false"/>
          </w:tcPr>
          <w:p>
            <w:pPr>
              <w:jc w:val="center"/>
              <w:rPr>
                <w:sz w:val="24"/>
                <w:szCs w:val="24"/>
              </w:rPr>
            </w:pPr>
            <w:r>
              <w:rPr>
                <w:sz w:val="24"/>
                <w:szCs w:val="24"/>
              </w:rPr>
              <w:t xml:space="preserve">Требования к началу </w:t>
            </w:r>
            <w:r>
              <w:rPr>
                <w:sz w:val="24"/>
                <w:szCs w:val="24"/>
              </w:rPr>
              <w:t xml:space="preserve">срока выполнения работ</w:t>
            </w:r>
            <w:r>
              <w:rPr>
                <w:sz w:val="24"/>
                <w:szCs w:val="24"/>
              </w:rPr>
            </w:r>
            <w:r>
              <w:rPr>
                <w:sz w:val="24"/>
                <w:szCs w:val="24"/>
              </w:rPr>
            </w:r>
          </w:p>
        </w:tc>
        <w:tc>
          <w:tcPr>
            <w:tcW w:w="3260" w:type="dxa"/>
            <w:vAlign w:val="center"/>
            <w:textDirection w:val="lrTb"/>
            <w:noWrap w:val="false"/>
          </w:tcPr>
          <w:p>
            <w:pPr>
              <w:jc w:val="center"/>
              <w:rPr>
                <w:sz w:val="24"/>
                <w:szCs w:val="24"/>
              </w:rPr>
            </w:pPr>
            <w:r>
              <w:rPr>
                <w:sz w:val="24"/>
                <w:szCs w:val="24"/>
              </w:rPr>
              <w:t xml:space="preserve">Требования к окончанию </w:t>
            </w:r>
            <w:r>
              <w:rPr>
                <w:sz w:val="24"/>
                <w:szCs w:val="24"/>
              </w:rPr>
              <w:t xml:space="preserve">срока выполнения работ </w:t>
            </w:r>
            <w:r>
              <w:rPr>
                <w:sz w:val="24"/>
                <w:szCs w:val="24"/>
              </w:rPr>
            </w:r>
            <w:r>
              <w:rPr>
                <w:sz w:val="24"/>
                <w:szCs w:val="24"/>
              </w:rPr>
            </w:r>
          </w:p>
        </w:tc>
      </w:tr>
      <w:tr>
        <w:tblPrEx/>
        <w:trPr/>
        <w:tc>
          <w:tcPr>
            <w:shd w:val="clear" w:color="auto" w:fill="auto"/>
            <w:tcW w:w="963" w:type="dxa"/>
            <w:textDirection w:val="lrTb"/>
            <w:noWrap w:val="false"/>
          </w:tcPr>
          <w:p>
            <w:pPr>
              <w:jc w:val="center"/>
              <w:rPr>
                <w:sz w:val="24"/>
                <w:szCs w:val="24"/>
              </w:rPr>
            </w:pPr>
            <w:r>
              <w:rPr>
                <w:b/>
                <w:sz w:val="24"/>
                <w:szCs w:val="24"/>
              </w:rPr>
              <w:t xml:space="preserve">1</w:t>
            </w:r>
            <w:r>
              <w:rPr>
                <w:sz w:val="24"/>
                <w:szCs w:val="24"/>
              </w:rPr>
            </w:r>
            <w:r>
              <w:rPr>
                <w:sz w:val="24"/>
                <w:szCs w:val="24"/>
              </w:rPr>
            </w:r>
          </w:p>
        </w:tc>
        <w:tc>
          <w:tcPr>
            <w:shd w:val="clear" w:color="auto" w:fill="auto"/>
            <w:tcW w:w="2581" w:type="dxa"/>
            <w:textDirection w:val="lrTb"/>
            <w:noWrap w:val="false"/>
          </w:tcPr>
          <w:p>
            <w:pPr>
              <w:jc w:val="center"/>
              <w:rPr>
                <w:sz w:val="24"/>
                <w:szCs w:val="24"/>
              </w:rPr>
            </w:pPr>
            <w:r>
              <w:rPr>
                <w:b/>
                <w:sz w:val="24"/>
                <w:szCs w:val="24"/>
              </w:rPr>
              <w:t xml:space="preserve">2</w:t>
            </w:r>
            <w:r>
              <w:rPr>
                <w:sz w:val="24"/>
                <w:szCs w:val="24"/>
              </w:rPr>
            </w:r>
            <w:r>
              <w:rPr>
                <w:sz w:val="24"/>
                <w:szCs w:val="24"/>
              </w:rPr>
            </w:r>
          </w:p>
        </w:tc>
        <w:tc>
          <w:tcPr>
            <w:tcW w:w="2977" w:type="dxa"/>
            <w:textDirection w:val="lrTb"/>
            <w:noWrap w:val="false"/>
          </w:tcPr>
          <w:p>
            <w:pPr>
              <w:pStyle w:val="1026"/>
              <w:jc w:val="center"/>
              <w:keepNext w:val="0"/>
              <w:rPr>
                <w:sz w:val="24"/>
                <w:szCs w:val="24"/>
              </w:rPr>
            </w:pPr>
            <w:r>
              <w:rPr>
                <w:b/>
                <w:sz w:val="24"/>
                <w:szCs w:val="24"/>
              </w:rPr>
              <w:t xml:space="preserve">3</w:t>
            </w:r>
            <w:r>
              <w:rPr>
                <w:sz w:val="24"/>
                <w:szCs w:val="24"/>
              </w:rPr>
            </w:r>
            <w:r>
              <w:rPr>
                <w:sz w:val="24"/>
                <w:szCs w:val="24"/>
              </w:rPr>
            </w:r>
          </w:p>
        </w:tc>
        <w:tc>
          <w:tcPr>
            <w:tcW w:w="3260" w:type="dxa"/>
            <w:textDirection w:val="lrTb"/>
            <w:noWrap w:val="false"/>
          </w:tcPr>
          <w:p>
            <w:pPr>
              <w:pStyle w:val="1026"/>
              <w:jc w:val="center"/>
              <w:keepNext w:val="0"/>
              <w:rPr>
                <w:sz w:val="24"/>
                <w:szCs w:val="24"/>
              </w:rPr>
            </w:pPr>
            <w:r>
              <w:rPr>
                <w:b/>
                <w:sz w:val="24"/>
                <w:szCs w:val="24"/>
              </w:rPr>
              <w:t xml:space="preserve">4</w:t>
            </w:r>
            <w:r>
              <w:rPr>
                <w:sz w:val="24"/>
                <w:szCs w:val="24"/>
              </w:rPr>
            </w:r>
            <w:r>
              <w:rPr>
                <w:sz w:val="24"/>
                <w:szCs w:val="24"/>
              </w:rPr>
            </w:r>
          </w:p>
        </w:tc>
      </w:tr>
      <w:tr>
        <w:tblPrEx/>
        <w:trPr>
          <w:trHeight w:val="1940"/>
        </w:trPr>
        <w:tc>
          <w:tcPr>
            <w:shd w:val="clear" w:color="auto" w:fill="auto"/>
            <w:tcW w:w="963" w:type="dxa"/>
            <w:textDirection w:val="lrTb"/>
            <w:noWrap w:val="false"/>
          </w:tcPr>
          <w:p>
            <w:pPr>
              <w:pStyle w:val="1024"/>
              <w:numPr>
                <w:ilvl w:val="0"/>
                <w:numId w:val="5"/>
              </w:numPr>
              <w:jc w:val="center"/>
              <w:rPr>
                <w:sz w:val="24"/>
                <w:szCs w:val="24"/>
                <w:highlight w:val="white"/>
              </w:rPr>
            </w:pPr>
            <w:r>
              <w:rPr>
                <w:sz w:val="24"/>
                <w:szCs w:val="24"/>
                <w:highlight w:val="white"/>
              </w:rPr>
            </w:r>
            <w:r>
              <w:rPr>
                <w:sz w:val="24"/>
                <w:szCs w:val="24"/>
                <w:highlight w:val="white"/>
              </w:rPr>
            </w:r>
            <w:r>
              <w:rPr>
                <w:sz w:val="24"/>
                <w:szCs w:val="24"/>
                <w:highlight w:val="white"/>
              </w:rPr>
            </w:r>
          </w:p>
        </w:tc>
        <w:tc>
          <w:tcPr>
            <w:shd w:val="clear" w:color="auto" w:fill="auto"/>
            <w:tcW w:w="2581" w:type="dxa"/>
            <w:textDirection w:val="lrTb"/>
            <w:noWrap w:val="false"/>
          </w:tcPr>
          <w:p>
            <w:pPr>
              <w:jc w:val="center"/>
              <w:rPr>
                <w:sz w:val="24"/>
                <w:szCs w:val="24"/>
                <w:highlight w:val="white"/>
              </w:rPr>
            </w:pPr>
            <w:r>
              <w:rPr>
                <w:sz w:val="24"/>
                <w:szCs w:val="24"/>
                <w:highlight w:val="white"/>
              </w:rPr>
            </w:r>
            <w:r>
              <w:rPr>
                <w:sz w:val="24"/>
                <w:szCs w:val="24"/>
                <w:highlight w:val="white"/>
              </w:rPr>
              <w:t xml:space="preserve">ОКПД2 42.21.22.120 Выполнение работ по капитальному ремонту тепловой сети №01-33 ТК23 - ЦТП «Детская больница» по ул. Фрунзе – ул. Ключевая г. Артем, Приморский край с применением стеклопластиковой трубы, для Приморских тепловых сетей</w:t>
            </w:r>
            <w:r>
              <w:rPr>
                <w:sz w:val="24"/>
                <w:szCs w:val="24"/>
                <w:highlight w:val="white"/>
              </w:rPr>
            </w:r>
            <w:r>
              <w:rPr>
                <w:sz w:val="24"/>
                <w:szCs w:val="24"/>
                <w:highlight w:val="white"/>
              </w:rPr>
            </w:r>
          </w:p>
        </w:tc>
        <w:tc>
          <w:tcPr>
            <w:tcW w:w="2977" w:type="dxa"/>
            <w:textDirection w:val="lrTb"/>
            <w:noWrap w:val="false"/>
          </w:tcPr>
          <w:p>
            <w:pPr>
              <w:jc w:val="center"/>
              <w:rPr>
                <w:sz w:val="24"/>
                <w:szCs w:val="24"/>
              </w:rPr>
            </w:pPr>
            <w:r>
              <w:rPr>
                <w:sz w:val="24"/>
                <w:szCs w:val="24"/>
              </w:rPr>
              <w:t xml:space="preserve">С даты, следующей за датой заключения договора</w:t>
            </w:r>
            <w:r>
              <w:rPr>
                <w:sz w:val="24"/>
                <w:szCs w:val="24"/>
              </w:rPr>
            </w:r>
            <w:r>
              <w:rPr>
                <w:sz w:val="24"/>
                <w:szCs w:val="24"/>
              </w:rPr>
            </w:r>
          </w:p>
        </w:tc>
        <w:tc>
          <w:tcPr>
            <w:tcW w:w="3260" w:type="dxa"/>
            <w:textDirection w:val="lrTb"/>
            <w:noWrap w:val="false"/>
          </w:tcPr>
          <w:p>
            <w:pPr>
              <w:jc w:val="center"/>
              <w:rPr>
                <w:sz w:val="24"/>
                <w:szCs w:val="24"/>
              </w:rPr>
            </w:pPr>
            <w:r>
              <w:rPr>
                <w:sz w:val="24"/>
                <w:szCs w:val="24"/>
              </w:rPr>
              <w:t xml:space="preserve">30.09.2026</w:t>
            </w:r>
            <w:r>
              <w:rPr>
                <w:sz w:val="24"/>
                <w:szCs w:val="24"/>
              </w:rPr>
            </w:r>
            <w:r>
              <w:rPr>
                <w:sz w:val="24"/>
                <w:szCs w:val="24"/>
              </w:rPr>
            </w:r>
          </w:p>
        </w:tc>
      </w:tr>
    </w:tbl>
    <w:p>
      <w:pPr>
        <w:rPr>
          <w:rFonts w:eastAsia="Calibri"/>
          <w:bCs/>
          <w:i/>
          <w:sz w:val="24"/>
          <w:szCs w:val="24"/>
        </w:rPr>
      </w:pPr>
      <w:r>
        <w:rPr>
          <w:rFonts w:eastAsia="Calibri"/>
          <w:bCs/>
          <w:i/>
          <w:sz w:val="24"/>
          <w:szCs w:val="24"/>
        </w:rPr>
      </w:r>
      <w:r>
        <w:rPr>
          <w:rFonts w:eastAsia="Calibri"/>
          <w:bCs/>
          <w:i/>
          <w:sz w:val="24"/>
          <w:szCs w:val="24"/>
        </w:rPr>
      </w:r>
      <w:r>
        <w:rPr>
          <w:rFonts w:eastAsia="Calibri"/>
          <w:bCs/>
          <w:i/>
          <w:sz w:val="24"/>
          <w:szCs w:val="24"/>
        </w:rPr>
      </w:r>
    </w:p>
    <w:tbl>
      <w:tblPr>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738"/>
        <w:gridCol w:w="5641"/>
        <w:gridCol w:w="1559"/>
        <w:gridCol w:w="1843"/>
      </w:tblGrid>
      <w:tr>
        <w:tblPrEx/>
        <w:trPr/>
        <w:tc>
          <w:tcPr>
            <w:gridSpan w:val="4"/>
            <w:shd w:val="clear" w:color="ffffff" w:fill="ffffff"/>
            <w:tcBorders>
              <w:bottom w:val="single" w:color="000000" w:sz="4" w:space="0"/>
            </w:tcBorders>
            <w:tcW w:w="9781" w:type="dxa"/>
            <w:vMerge w:val="restart"/>
            <w:textDirection w:val="lrTb"/>
            <w:noWrap w:val="false"/>
          </w:tcPr>
          <w:p>
            <w:pPr>
              <w:jc w:val="both"/>
              <w:rPr>
                <w:sz w:val="24"/>
                <w:szCs w:val="24"/>
                <w:highlight w:val="none"/>
              </w:rPr>
            </w:pPr>
            <w:r>
              <w:rPr>
                <w:sz w:val="24"/>
                <w:szCs w:val="24"/>
                <w:highlight w:val="none"/>
              </w:rPr>
            </w:r>
            <w:r>
              <w:rPr>
                <w:i/>
                <w:sz w:val="24"/>
              </w:rPr>
              <w:t xml:space="preserve">*дату начала производства работ на объекте письменно согласовать с Заказчиком.</w:t>
            </w:r>
            <w:r>
              <w:rPr>
                <w:sz w:val="24"/>
                <w:szCs w:val="24"/>
                <w:highlight w:val="none"/>
              </w:rPr>
            </w:r>
            <w:r>
              <w:rPr>
                <w:sz w:val="24"/>
                <w:szCs w:val="24"/>
                <w:highlight w:val="none"/>
              </w:rPr>
            </w:r>
          </w:p>
          <w:p>
            <w:pPr>
              <w:ind w:firstLine="0"/>
              <w:rPr>
                <w:sz w:val="24"/>
                <w:szCs w:val="24"/>
              </w:rPr>
            </w:pPr>
            <w:r>
              <w:rPr>
                <w:bCs/>
                <w:sz w:val="24"/>
                <w:szCs w:val="24"/>
              </w:rPr>
            </w:r>
            <w:r>
              <w:rPr>
                <w:sz w:val="24"/>
                <w:szCs w:val="24"/>
              </w:rPr>
            </w:r>
            <w:r>
              <w:rPr>
                <w:sz w:val="24"/>
                <w:szCs w:val="24"/>
              </w:rPr>
            </w:r>
          </w:p>
        </w:tc>
      </w:tr>
    </w:tbl>
    <w:p>
      <w:pPr>
        <w:rPr>
          <w:rFonts w:eastAsia="Calibri"/>
          <w:bCs/>
          <w:i/>
          <w:sz w:val="24"/>
          <w:szCs w:val="24"/>
        </w:rPr>
      </w:pPr>
      <w:r>
        <w:rPr>
          <w:rFonts w:eastAsia="Calibri"/>
          <w:i/>
          <w:sz w:val="24"/>
          <w:szCs w:val="24"/>
        </w:rPr>
      </w:r>
      <w:r>
        <w:rPr>
          <w:rFonts w:eastAsia="Calibri"/>
          <w:bCs/>
          <w:i/>
          <w:sz w:val="24"/>
          <w:szCs w:val="24"/>
        </w:rPr>
      </w:r>
      <w:r>
        <w:rPr>
          <w:rFonts w:eastAsia="Calibri"/>
          <w:bCs/>
          <w:i/>
          <w:sz w:val="24"/>
          <w:szCs w:val="24"/>
        </w:rPr>
      </w:r>
    </w:p>
    <w:p>
      <w:pPr>
        <w:spacing w:after="160" w:line="259" w:lineRule="auto"/>
        <w:sectPr>
          <w:headerReference w:type="default" r:id="rId9"/>
          <w:headerReference w:type="first" r:id="rId10"/>
          <w:footnotePr/>
          <w:endnotePr/>
          <w:type w:val="nextPage"/>
          <w:pgSz w:w="11906" w:h="16838" w:orient="portrait"/>
          <w:pgMar w:top="851" w:right="709" w:bottom="1134" w:left="1276" w:header="426" w:footer="708" w:gutter="0"/>
          <w:cols w:num="1" w:sep="0" w:space="708" w:equalWidth="1"/>
          <w:docGrid w:linePitch="360"/>
        </w:sectPr>
      </w:pPr>
      <w:r/>
      <w:r/>
    </w:p>
    <w:p>
      <w:pPr>
        <w:pStyle w:val="828"/>
      </w:pPr>
      <w:r/>
      <w:bookmarkStart w:id="22" w:name="_Toc51339698"/>
      <w:r/>
      <w:bookmarkStart w:id="23" w:name="_Toc54646410"/>
      <w:r>
        <w:t xml:space="preserve">Требования к качеству работ</w:t>
      </w:r>
      <w:r/>
    </w:p>
    <w:p>
      <w:pPr>
        <w:pStyle w:val="825"/>
        <w:numPr>
          <w:ilvl w:val="0"/>
          <w:numId w:val="0"/>
        </w:numPr>
        <w:keepLines/>
        <w:spacing w:before="240"/>
        <w:rPr>
          <w:sz w:val="24"/>
          <w:szCs w:val="24"/>
        </w:rPr>
      </w:pPr>
      <w:r>
        <w:rPr>
          <w:sz w:val="24"/>
          <w:szCs w:val="24"/>
        </w:rPr>
        <w:t xml:space="preserve">Таблица 4. Требования к </w:t>
      </w:r>
      <w:bookmarkEnd w:id="22"/>
      <w:r>
        <w:rPr>
          <w:sz w:val="24"/>
          <w:szCs w:val="24"/>
        </w:rPr>
        <w:t xml:space="preserve">качеству работ</w:t>
      </w:r>
      <w:bookmarkEnd w:id="23"/>
      <w:r>
        <w:rPr>
          <w:sz w:val="24"/>
          <w:szCs w:val="24"/>
        </w:rPr>
        <w:t xml:space="preserve"> </w:t>
      </w:r>
      <w:r>
        <w:rPr>
          <w:sz w:val="24"/>
          <w:szCs w:val="24"/>
        </w:rPr>
      </w:r>
      <w:r>
        <w:rPr>
          <w:sz w:val="24"/>
          <w:szCs w:val="24"/>
        </w:rPr>
      </w:r>
    </w:p>
    <w:p>
      <w:pPr>
        <w:spacing w:after="120"/>
        <w:rPr>
          <w:rStyle w:val="1021"/>
          <w:b w:val="0"/>
          <w:iCs/>
          <w:sz w:val="24"/>
          <w:szCs w:val="24"/>
        </w:rPr>
      </w:pPr>
      <w:r>
        <w:rPr>
          <w:b w:val="0"/>
          <w:iCs/>
          <w:sz w:val="24"/>
          <w:szCs w:val="24"/>
        </w:rPr>
      </w:r>
      <w:r>
        <w:rPr>
          <w:rStyle w:val="1021"/>
          <w:b w:val="0"/>
          <w:iCs/>
          <w:sz w:val="24"/>
          <w:szCs w:val="24"/>
        </w:rPr>
      </w:r>
      <w:r>
        <w:rPr>
          <w:rStyle w:val="1021"/>
          <w:b w:val="0"/>
          <w:iCs/>
          <w:sz w:val="24"/>
          <w:szCs w:val="24"/>
        </w:rPr>
      </w:r>
    </w:p>
    <w:tbl>
      <w:tblPr>
        <w:tblStyle w:val="1027"/>
        <w:tblW w:w="15134" w:type="dxa"/>
        <w:tblInd w:w="-5" w:type="dxa"/>
        <w:tblLayout w:type="fixed"/>
        <w:tblLook w:val="04A0" w:firstRow="1" w:lastRow="0" w:firstColumn="1" w:lastColumn="0" w:noHBand="0" w:noVBand="1"/>
      </w:tblPr>
      <w:tblGrid>
        <w:gridCol w:w="680"/>
        <w:gridCol w:w="2126"/>
        <w:gridCol w:w="6519"/>
        <w:gridCol w:w="3402"/>
        <w:gridCol w:w="2407"/>
      </w:tblGrid>
      <w:tr>
        <w:tblPrEx/>
        <w:trPr/>
        <w:tc>
          <w:tcPr>
            <w:tcW w:w="680" w:type="dxa"/>
            <w:vAlign w:val="center"/>
            <w:vMerge w:val="restart"/>
            <w:textDirection w:val="lrTb"/>
            <w:noWrap w:val="false"/>
          </w:tcPr>
          <w:p>
            <w:pPr>
              <w:rPr>
                <w:b/>
                <w:bCs/>
                <w:sz w:val="24"/>
                <w:szCs w:val="24"/>
              </w:rPr>
            </w:pPr>
            <w:r>
              <w:rPr>
                <w:b/>
                <w:bCs/>
                <w:sz w:val="24"/>
                <w:szCs w:val="24"/>
              </w:rPr>
              <w:t xml:space="preserve">№ </w:t>
            </w:r>
            <w:r>
              <w:rPr>
                <w:b/>
                <w:bCs/>
                <w:sz w:val="24"/>
                <w:szCs w:val="24"/>
              </w:rPr>
              <w:t xml:space="preserve">п</w:t>
            </w:r>
            <w:r>
              <w:rPr>
                <w:b/>
                <w:bCs/>
                <w:sz w:val="24"/>
                <w:szCs w:val="24"/>
              </w:rPr>
              <w:t xml:space="preserve">/п</w:t>
            </w:r>
            <w:r>
              <w:rPr>
                <w:b/>
                <w:bCs/>
                <w:sz w:val="24"/>
                <w:szCs w:val="24"/>
              </w:rPr>
            </w:r>
            <w:r>
              <w:rPr>
                <w:b/>
                <w:bCs/>
                <w:sz w:val="24"/>
                <w:szCs w:val="24"/>
              </w:rPr>
            </w:r>
          </w:p>
        </w:tc>
        <w:tc>
          <w:tcPr>
            <w:tcW w:w="2126" w:type="dxa"/>
            <w:vAlign w:val="center"/>
            <w:vMerge w:val="restart"/>
            <w:textDirection w:val="lrTb"/>
            <w:noWrap w:val="false"/>
          </w:tcPr>
          <w:p>
            <w:pPr>
              <w:jc w:val="center"/>
              <w:rPr>
                <w:b/>
                <w:bCs/>
                <w:sz w:val="24"/>
                <w:szCs w:val="24"/>
              </w:rPr>
            </w:pPr>
            <w:r>
              <w:rPr>
                <w:b/>
                <w:bCs/>
                <w:sz w:val="24"/>
                <w:szCs w:val="24"/>
              </w:rPr>
              <w:t xml:space="preserve">Наименование параметра</w:t>
            </w:r>
            <w:r>
              <w:rPr>
                <w:b/>
                <w:bCs/>
                <w:sz w:val="24"/>
                <w:szCs w:val="24"/>
              </w:rPr>
            </w:r>
            <w:r>
              <w:rPr>
                <w:b/>
                <w:bCs/>
                <w:sz w:val="24"/>
                <w:szCs w:val="24"/>
              </w:rPr>
            </w:r>
          </w:p>
        </w:tc>
        <w:tc>
          <w:tcPr>
            <w:tcW w:w="6519" w:type="dxa"/>
            <w:vAlign w:val="center"/>
            <w:vMerge w:val="restart"/>
            <w:textDirection w:val="lrTb"/>
            <w:noWrap w:val="false"/>
          </w:tcPr>
          <w:p>
            <w:pPr>
              <w:jc w:val="center"/>
              <w:rPr>
                <w:b/>
                <w:bCs/>
                <w:sz w:val="24"/>
                <w:szCs w:val="24"/>
              </w:rPr>
            </w:pPr>
            <w:r>
              <w:rPr>
                <w:b/>
                <w:bCs/>
                <w:sz w:val="24"/>
                <w:szCs w:val="24"/>
              </w:rPr>
              <w:t xml:space="preserve">Требование заказчика</w:t>
            </w:r>
            <w:r>
              <w:rPr>
                <w:b/>
                <w:bCs/>
                <w:sz w:val="24"/>
                <w:szCs w:val="24"/>
              </w:rPr>
            </w:r>
            <w:r>
              <w:rPr>
                <w:b/>
                <w:bCs/>
                <w:sz w:val="24"/>
                <w:szCs w:val="24"/>
              </w:rPr>
            </w:r>
          </w:p>
        </w:tc>
        <w:tc>
          <w:tcPr>
            <w:gridSpan w:val="2"/>
            <w:tcW w:w="5809" w:type="dxa"/>
            <w:vAlign w:val="center"/>
            <w:textDirection w:val="lrTb"/>
            <w:noWrap w:val="false"/>
          </w:tcPr>
          <w:p>
            <w:pPr>
              <w:jc w:val="center"/>
              <w:rPr>
                <w:b/>
                <w:bCs/>
                <w:sz w:val="24"/>
                <w:szCs w:val="24"/>
              </w:rPr>
            </w:pPr>
            <w:r>
              <w:rPr>
                <w:b/>
                <w:bCs/>
                <w:sz w:val="24"/>
                <w:szCs w:val="24"/>
              </w:rPr>
              <w:t xml:space="preserve">Способ подтверждения участником соответствия требованиям</w:t>
            </w:r>
            <w:r>
              <w:rPr>
                <w:b/>
                <w:bCs/>
                <w:sz w:val="24"/>
                <w:szCs w:val="24"/>
              </w:rPr>
            </w:r>
            <w:r>
              <w:rPr>
                <w:b/>
                <w:bCs/>
                <w:sz w:val="24"/>
                <w:szCs w:val="24"/>
              </w:rPr>
            </w:r>
          </w:p>
        </w:tc>
      </w:tr>
      <w:tr>
        <w:tblPrEx/>
        <w:trPr/>
        <w:tc>
          <w:tcPr>
            <w:tcW w:w="680" w:type="dxa"/>
            <w:vAlign w:val="center"/>
            <w:vMerge w:val="continue"/>
            <w:textDirection w:val="lrTb"/>
            <w:noWrap w:val="false"/>
          </w:tcPr>
          <w:p>
            <w:pPr>
              <w:rPr>
                <w:b/>
                <w:bCs/>
                <w:sz w:val="24"/>
                <w:szCs w:val="24"/>
              </w:rPr>
            </w:pPr>
            <w:r>
              <w:rPr>
                <w:b/>
                <w:bCs/>
                <w:sz w:val="24"/>
                <w:szCs w:val="24"/>
              </w:rPr>
            </w:r>
            <w:r>
              <w:rPr>
                <w:b/>
                <w:bCs/>
                <w:sz w:val="24"/>
                <w:szCs w:val="24"/>
              </w:rPr>
            </w:r>
            <w:r>
              <w:rPr>
                <w:b/>
                <w:bCs/>
                <w:sz w:val="24"/>
                <w:szCs w:val="24"/>
              </w:rPr>
            </w:r>
          </w:p>
        </w:tc>
        <w:tc>
          <w:tcPr>
            <w:tcW w:w="2126" w:type="dxa"/>
            <w:vAlign w:val="center"/>
            <w:vMerge w:val="continue"/>
            <w:textDirection w:val="lrTb"/>
            <w:noWrap w:val="false"/>
          </w:tcPr>
          <w:p>
            <w:pPr>
              <w:rPr>
                <w:b/>
                <w:bCs/>
                <w:sz w:val="24"/>
                <w:szCs w:val="24"/>
              </w:rPr>
            </w:pPr>
            <w:r>
              <w:rPr>
                <w:b/>
                <w:bCs/>
                <w:sz w:val="24"/>
                <w:szCs w:val="24"/>
              </w:rPr>
            </w:r>
            <w:r>
              <w:rPr>
                <w:b/>
                <w:bCs/>
                <w:sz w:val="24"/>
                <w:szCs w:val="24"/>
              </w:rPr>
            </w:r>
            <w:r>
              <w:rPr>
                <w:b/>
                <w:bCs/>
                <w:sz w:val="24"/>
                <w:szCs w:val="24"/>
              </w:rPr>
            </w:r>
          </w:p>
        </w:tc>
        <w:tc>
          <w:tcPr>
            <w:tcW w:w="6519" w:type="dxa"/>
            <w:vAlign w:val="center"/>
            <w:vMerge w:val="continue"/>
            <w:textDirection w:val="lrTb"/>
            <w:noWrap w:val="false"/>
          </w:tcPr>
          <w:p>
            <w:pPr>
              <w:rPr>
                <w:b/>
                <w:bCs/>
                <w:sz w:val="24"/>
                <w:szCs w:val="24"/>
              </w:rPr>
            </w:pPr>
            <w:r>
              <w:rPr>
                <w:b/>
                <w:bCs/>
                <w:sz w:val="24"/>
                <w:szCs w:val="24"/>
              </w:rPr>
            </w:r>
            <w:r>
              <w:rPr>
                <w:b/>
                <w:bCs/>
                <w:sz w:val="24"/>
                <w:szCs w:val="24"/>
              </w:rPr>
            </w:r>
            <w:r>
              <w:rPr>
                <w:b/>
                <w:bCs/>
                <w:sz w:val="24"/>
                <w:szCs w:val="24"/>
              </w:rPr>
            </w:r>
          </w:p>
        </w:tc>
        <w:tc>
          <w:tcPr>
            <w:tcW w:w="3402" w:type="dxa"/>
            <w:vAlign w:val="center"/>
            <w:textDirection w:val="lrTb"/>
            <w:noWrap w:val="false"/>
          </w:tcPr>
          <w:p>
            <w:pPr>
              <w:jc w:val="center"/>
              <w:rPr>
                <w:b/>
                <w:bCs/>
                <w:sz w:val="24"/>
                <w:szCs w:val="24"/>
              </w:rPr>
            </w:pPr>
            <w:r>
              <w:rPr>
                <w:b/>
                <w:bCs/>
                <w:sz w:val="24"/>
                <w:szCs w:val="24"/>
              </w:rPr>
              <w:t xml:space="preserve">Согласие с требованием/ указание характеристик</w:t>
            </w:r>
            <w:r>
              <w:rPr>
                <w:b/>
                <w:bCs/>
                <w:sz w:val="24"/>
                <w:szCs w:val="24"/>
              </w:rPr>
            </w:r>
            <w:r>
              <w:rPr>
                <w:b/>
                <w:bCs/>
                <w:sz w:val="24"/>
                <w:szCs w:val="24"/>
              </w:rPr>
            </w:r>
          </w:p>
        </w:tc>
        <w:tc>
          <w:tcPr>
            <w:tcW w:w="2407" w:type="dxa"/>
            <w:vAlign w:val="center"/>
            <w:textDirection w:val="lrTb"/>
            <w:noWrap w:val="false"/>
          </w:tcPr>
          <w:p>
            <w:pPr>
              <w:jc w:val="center"/>
              <w:rPr>
                <w:b/>
                <w:bCs/>
                <w:sz w:val="24"/>
                <w:szCs w:val="24"/>
              </w:rPr>
            </w:pPr>
            <w:r>
              <w:rPr>
                <w:b/>
                <w:bCs/>
                <w:sz w:val="24"/>
                <w:szCs w:val="24"/>
              </w:rPr>
              <w:t xml:space="preserve">Предоставление подтверждающего документа или иной способ подтверждения</w:t>
            </w:r>
            <w:r>
              <w:rPr>
                <w:b/>
                <w:bCs/>
                <w:sz w:val="24"/>
                <w:szCs w:val="24"/>
              </w:rPr>
            </w:r>
            <w:r>
              <w:rPr>
                <w:b/>
                <w:bCs/>
                <w:sz w:val="24"/>
                <w:szCs w:val="24"/>
              </w:rPr>
            </w:r>
          </w:p>
        </w:tc>
      </w:tr>
      <w:tr>
        <w:tblPrEx/>
        <w:trPr/>
        <w:tc>
          <w:tcPr>
            <w:tcW w:w="680" w:type="dxa"/>
            <w:vAlign w:val="center"/>
            <w:textDirection w:val="lrTb"/>
            <w:noWrap w:val="false"/>
          </w:tcPr>
          <w:p>
            <w:pPr>
              <w:jc w:val="center"/>
              <w:spacing w:before="60" w:after="60"/>
            </w:pPr>
            <w:r>
              <w:rPr>
                <w:b/>
                <w:sz w:val="24"/>
                <w:szCs w:val="24"/>
              </w:rPr>
              <w:t xml:space="preserve">1</w:t>
            </w:r>
            <w:r/>
          </w:p>
        </w:tc>
        <w:tc>
          <w:tcPr>
            <w:tcW w:w="2126" w:type="dxa"/>
            <w:vAlign w:val="center"/>
            <w:textDirection w:val="lrTb"/>
            <w:noWrap w:val="false"/>
          </w:tcPr>
          <w:p>
            <w:pPr>
              <w:jc w:val="center"/>
              <w:rPr>
                <w:b/>
                <w:sz w:val="24"/>
                <w:szCs w:val="24"/>
              </w:rPr>
            </w:pPr>
            <w:r>
              <w:rPr>
                <w:b/>
                <w:sz w:val="24"/>
                <w:szCs w:val="24"/>
              </w:rPr>
              <w:t xml:space="preserve">2</w:t>
            </w:r>
            <w:r>
              <w:rPr>
                <w:b/>
                <w:sz w:val="24"/>
                <w:szCs w:val="24"/>
              </w:rPr>
            </w:r>
            <w:r>
              <w:rPr>
                <w:b/>
                <w:sz w:val="24"/>
                <w:szCs w:val="24"/>
              </w:rPr>
            </w:r>
          </w:p>
        </w:tc>
        <w:tc>
          <w:tcPr>
            <w:tcW w:w="6519" w:type="dxa"/>
            <w:vAlign w:val="center"/>
            <w:textDirection w:val="lrTb"/>
            <w:noWrap w:val="false"/>
          </w:tcPr>
          <w:p>
            <w:pPr>
              <w:jc w:val="center"/>
              <w:rPr>
                <w:b/>
                <w:sz w:val="24"/>
                <w:szCs w:val="24"/>
              </w:rPr>
            </w:pPr>
            <w:r>
              <w:rPr>
                <w:b/>
                <w:sz w:val="24"/>
                <w:szCs w:val="24"/>
              </w:rPr>
              <w:t xml:space="preserve">3</w:t>
            </w:r>
            <w:r>
              <w:rPr>
                <w:b/>
                <w:sz w:val="24"/>
                <w:szCs w:val="24"/>
              </w:rPr>
            </w:r>
            <w:r>
              <w:rPr>
                <w:b/>
                <w:sz w:val="24"/>
                <w:szCs w:val="24"/>
              </w:rPr>
            </w:r>
          </w:p>
        </w:tc>
        <w:tc>
          <w:tcPr>
            <w:tcW w:w="3402" w:type="dxa"/>
            <w:vAlign w:val="center"/>
            <w:textDirection w:val="lrTb"/>
            <w:noWrap w:val="false"/>
          </w:tcPr>
          <w:p>
            <w:pPr>
              <w:jc w:val="center"/>
              <w:rPr>
                <w:b/>
                <w:sz w:val="24"/>
                <w:szCs w:val="24"/>
              </w:rPr>
            </w:pPr>
            <w:r>
              <w:rPr>
                <w:b/>
                <w:sz w:val="24"/>
                <w:szCs w:val="24"/>
              </w:rPr>
              <w:t xml:space="preserve">4</w:t>
            </w:r>
            <w:r>
              <w:rPr>
                <w:b/>
                <w:sz w:val="24"/>
                <w:szCs w:val="24"/>
              </w:rPr>
            </w:r>
            <w:r>
              <w:rPr>
                <w:b/>
                <w:sz w:val="24"/>
                <w:szCs w:val="24"/>
              </w:rPr>
            </w:r>
          </w:p>
        </w:tc>
        <w:tc>
          <w:tcPr>
            <w:tcW w:w="2407" w:type="dxa"/>
            <w:vAlign w:val="center"/>
            <w:textDirection w:val="lrTb"/>
            <w:noWrap w:val="false"/>
          </w:tcPr>
          <w:p>
            <w:pPr>
              <w:jc w:val="center"/>
              <w:rPr>
                <w:b/>
                <w:sz w:val="24"/>
                <w:szCs w:val="24"/>
              </w:rPr>
            </w:pPr>
            <w:r>
              <w:rPr>
                <w:b/>
                <w:sz w:val="24"/>
                <w:szCs w:val="24"/>
              </w:rPr>
              <w:t xml:space="preserve">5</w:t>
            </w:r>
            <w:r>
              <w:rPr>
                <w:b/>
                <w:sz w:val="24"/>
                <w:szCs w:val="24"/>
              </w:rPr>
            </w:r>
            <w:r>
              <w:rPr>
                <w:b/>
                <w:sz w:val="24"/>
                <w:szCs w:val="24"/>
              </w:rPr>
            </w:r>
          </w:p>
        </w:tc>
      </w:tr>
      <w:tr>
        <w:tblPrEx/>
        <w:trPr/>
        <w:tc>
          <w:tcPr>
            <w:tcW w:w="680" w:type="dxa"/>
            <w:vAlign w:val="center"/>
            <w:textDirection w:val="lrTb"/>
            <w:noWrap w:val="false"/>
          </w:tcPr>
          <w:p>
            <w:pPr>
              <w:pStyle w:val="1024"/>
              <w:numPr>
                <w:ilvl w:val="0"/>
                <w:numId w:val="6"/>
              </w:numPr>
              <w:jc w:val="center"/>
              <w:spacing w:before="60" w:after="60"/>
            </w:pPr>
            <w:r/>
            <w:r/>
          </w:p>
        </w:tc>
        <w:tc>
          <w:tcPr>
            <w:gridSpan w:val="2"/>
            <w:tcW w:w="8645" w:type="dxa"/>
            <w:vAlign w:val="center"/>
            <w:textDirection w:val="lrTb"/>
            <w:noWrap w:val="false"/>
          </w:tcPr>
          <w:p>
            <w:pPr>
              <w:jc w:val="both"/>
              <w:rPr>
                <w:b/>
                <w:sz w:val="24"/>
                <w:szCs w:val="24"/>
              </w:rPr>
            </w:pPr>
            <w:r>
              <w:rPr>
                <w:b/>
                <w:sz w:val="24"/>
                <w:szCs w:val="24"/>
              </w:rPr>
              <w:t xml:space="preserve">Требования к выполнению работ </w:t>
            </w:r>
            <w:r>
              <w:rPr>
                <w:b/>
                <w:sz w:val="24"/>
                <w:szCs w:val="24"/>
              </w:rPr>
            </w:r>
            <w:r>
              <w:rPr>
                <w:b/>
                <w:sz w:val="24"/>
                <w:szCs w:val="24"/>
              </w:rPr>
            </w:r>
          </w:p>
          <w:p>
            <w:pPr>
              <w:jc w:val="both"/>
              <w:rPr>
                <w:b/>
                <w:sz w:val="24"/>
                <w:szCs w:val="24"/>
              </w:rPr>
            </w:pPr>
            <w:r>
              <w:rPr>
                <w:b/>
                <w:sz w:val="24"/>
                <w:szCs w:val="24"/>
              </w:rPr>
            </w:r>
            <w:r>
              <w:rPr>
                <w:b/>
                <w:sz w:val="24"/>
                <w:szCs w:val="24"/>
              </w:rPr>
            </w:r>
            <w:r>
              <w:rPr>
                <w:b/>
                <w:sz w:val="24"/>
                <w:szCs w:val="24"/>
              </w:rPr>
            </w:r>
          </w:p>
        </w:tc>
        <w:tc>
          <w:tcPr>
            <w:tcW w:w="3402" w:type="dxa"/>
            <w:vMerge w:val="restart"/>
            <w:textDirection w:val="lrTb"/>
            <w:noWrap w:val="false"/>
          </w:tcPr>
          <w:p>
            <w:pPr>
              <w:jc w:val="both"/>
              <w:rPr>
                <w:sz w:val="24"/>
                <w:szCs w:val="24"/>
              </w:rPr>
            </w:pPr>
            <w:r>
              <w:rPr>
                <w:sz w:val="24"/>
                <w:szCs w:val="24"/>
              </w:rPr>
              <w:t xml:space="preserve">Участник должен предоставить в заявке согласие выполнить работы, полностью соответствующие настоящим ТТ, по форме Технического предложения, установленной в Документации о закупке</w:t>
            </w:r>
            <w:r>
              <w:rPr>
                <w:sz w:val="24"/>
                <w:szCs w:val="24"/>
              </w:rPr>
            </w:r>
            <w:r>
              <w:rPr>
                <w:sz w:val="24"/>
                <w:szCs w:val="24"/>
              </w:rPr>
            </w:r>
          </w:p>
        </w:tc>
        <w:tc>
          <w:tcPr>
            <w:tcW w:w="2407" w:type="dxa"/>
            <w:vMerge w:val="restart"/>
            <w:textDirection w:val="lrTb"/>
            <w:noWrap w:val="false"/>
          </w:tcPr>
          <w:p>
            <w:pPr>
              <w:rPr>
                <w:sz w:val="24"/>
                <w:szCs w:val="24"/>
              </w:rPr>
            </w:pPr>
            <w:r>
              <w:rPr>
                <w:sz w:val="24"/>
                <w:szCs w:val="24"/>
              </w:rPr>
              <w:t xml:space="preserve">-</w:t>
            </w:r>
            <w:r>
              <w:rPr>
                <w:sz w:val="24"/>
                <w:szCs w:val="24"/>
              </w:rPr>
            </w:r>
            <w:r>
              <w:rPr>
                <w:sz w:val="24"/>
                <w:szCs w:val="24"/>
              </w:rPr>
            </w:r>
          </w:p>
        </w:tc>
      </w:tr>
      <w:tr>
        <w:tblPrEx/>
        <w:trPr/>
        <w:tc>
          <w:tcPr>
            <w:tcW w:w="680" w:type="dxa"/>
            <w:vAlign w:val="center"/>
            <w:textDirection w:val="lrTb"/>
            <w:noWrap w:val="false"/>
          </w:tcPr>
          <w:p>
            <w:pPr>
              <w:pStyle w:val="1024"/>
              <w:numPr>
                <w:ilvl w:val="1"/>
                <w:numId w:val="6"/>
              </w:numPr>
              <w:ind w:left="-117" w:firstLine="142"/>
              <w:jc w:val="center"/>
              <w:spacing w:before="60" w:after="60"/>
              <w:rPr>
                <w:b/>
                <w:bCs/>
              </w:rPr>
            </w:pPr>
            <w:r>
              <w:rPr>
                <w:b/>
                <w:bCs/>
              </w:rPr>
            </w:r>
            <w:r>
              <w:rPr>
                <w:b/>
                <w:bCs/>
              </w:rPr>
            </w:r>
            <w:r>
              <w:rPr>
                <w:b/>
                <w:bCs/>
              </w:rPr>
            </w:r>
          </w:p>
        </w:tc>
        <w:tc>
          <w:tcPr>
            <w:gridSpan w:val="2"/>
            <w:tcW w:w="8645" w:type="dxa"/>
            <w:vAlign w:val="center"/>
            <w:textDirection w:val="lrTb"/>
            <w:noWrap w:val="false"/>
          </w:tcPr>
          <w:p>
            <w:pPr>
              <w:jc w:val="both"/>
              <w:spacing w:before="60" w:after="60"/>
              <w:rPr>
                <w:b/>
                <w:sz w:val="24"/>
                <w:szCs w:val="24"/>
              </w:rPr>
            </w:pPr>
            <w:r>
              <w:rPr>
                <w:b/>
                <w:sz w:val="24"/>
                <w:szCs w:val="24"/>
              </w:rPr>
              <w:t xml:space="preserve">Общие требования к выполнению работ</w:t>
            </w:r>
            <w:r>
              <w:rPr>
                <w:b/>
                <w:sz w:val="24"/>
                <w:szCs w:val="24"/>
              </w:rPr>
            </w:r>
            <w:r>
              <w:rPr>
                <w:b/>
                <w:sz w:val="24"/>
                <w:szCs w:val="24"/>
              </w:rPr>
            </w:r>
          </w:p>
        </w:tc>
        <w:tc>
          <w:tcPr>
            <w:tcW w:w="3402" w:type="dxa"/>
            <w:vMerge w:val="continue"/>
            <w:textDirection w:val="lrTb"/>
            <w:noWrap w:val="false"/>
          </w:tcPr>
          <w:p>
            <w:r/>
            <w:r/>
          </w:p>
        </w:tc>
        <w:tc>
          <w:tcPr>
            <w:tcW w:w="2407" w:type="dxa"/>
            <w:vMerge w:val="continue"/>
            <w:textDirection w:val="lrTb"/>
            <w:noWrap w:val="false"/>
          </w:tcPr>
          <w:p>
            <w:r/>
            <w:r/>
          </w:p>
        </w:tc>
      </w:tr>
      <w:tr>
        <w:tblPrEx/>
        <w:trPr/>
        <w:tc>
          <w:tcPr>
            <w:tcW w:w="680" w:type="dxa"/>
            <w:vAlign w:val="center"/>
            <w:textDirection w:val="lrTb"/>
            <w:noWrap w:val="false"/>
          </w:tcPr>
          <w:p>
            <w:pPr>
              <w:pStyle w:val="1024"/>
              <w:numPr>
                <w:ilvl w:val="2"/>
                <w:numId w:val="6"/>
              </w:numPr>
              <w:ind w:hanging="1199"/>
              <w:jc w:val="center"/>
              <w:spacing w:before="60" w:after="60"/>
            </w:pPr>
            <w:r/>
            <w:r/>
          </w:p>
        </w:tc>
        <w:tc>
          <w:tcPr>
            <w:shd w:val="clear" w:color="auto" w:fill="auto"/>
            <w:tcW w:w="2126" w:type="dxa"/>
            <w:textDirection w:val="lrTb"/>
            <w:noWrap w:val="false"/>
          </w:tcPr>
          <w:p>
            <w:pPr>
              <w:rPr>
                <w:sz w:val="24"/>
                <w:szCs w:val="24"/>
              </w:rPr>
            </w:pPr>
            <w:r>
              <w:rPr>
                <w:sz w:val="24"/>
                <w:szCs w:val="24"/>
              </w:rPr>
              <w:t xml:space="preserve">Соблюдение при выполнении работ норм и правил нормативно-технических документов</w:t>
            </w:r>
            <w:r>
              <w:rPr>
                <w:sz w:val="24"/>
                <w:szCs w:val="24"/>
              </w:rPr>
            </w:r>
            <w:r>
              <w:rPr>
                <w:sz w:val="24"/>
                <w:szCs w:val="24"/>
              </w:rPr>
            </w:r>
          </w:p>
        </w:tc>
        <w:tc>
          <w:tcPr>
            <w:shd w:val="clear" w:color="auto" w:fill="auto"/>
            <w:tcW w:w="6519" w:type="dxa"/>
            <w:vMerge w:val="restart"/>
            <w:textDirection w:val="lrTb"/>
            <w:noWrap w:val="false"/>
          </w:tcPr>
          <w:p>
            <w:pPr>
              <w:ind w:right="97" w:firstLine="567"/>
              <w:jc w:val="both"/>
              <w:spacing w:line="276" w:lineRule="auto"/>
              <w:widowControl w:val="off"/>
              <w:rPr>
                <w:bCs/>
                <w:sz w:val="24"/>
                <w:szCs w:val="24"/>
                <w:highlight w:val="white"/>
              </w:rPr>
            </w:pPr>
            <w:r>
              <w:rPr>
                <w:bCs/>
                <w:sz w:val="24"/>
                <w:szCs w:val="24"/>
                <w:highlight w:val="white"/>
              </w:rPr>
              <w:t xml:space="preserve">При выполнении работ подрядчик должен ру</w:t>
            </w:r>
            <w:r>
              <w:rPr>
                <w:bCs/>
                <w:sz w:val="24"/>
                <w:szCs w:val="24"/>
                <w:highlight w:val="white"/>
              </w:rPr>
              <w:t xml:space="preserve">ководствоваться </w:t>
            </w:r>
            <w:r>
              <w:rPr>
                <w:bCs/>
                <w:sz w:val="24"/>
                <w:szCs w:val="24"/>
                <w:highlight w:val="white"/>
              </w:rPr>
              <w:t xml:space="preserve">следующими</w:t>
            </w:r>
            <w:r>
              <w:rPr>
                <w:bCs/>
                <w:sz w:val="24"/>
                <w:szCs w:val="24"/>
                <w:highlight w:val="white"/>
              </w:rPr>
              <w:t xml:space="preserve"> национальными, отраслевыми и корпоративными НТД:</w:t>
            </w:r>
            <w:r>
              <w:rPr>
                <w:bCs/>
                <w:sz w:val="24"/>
                <w:szCs w:val="24"/>
                <w:highlight w:val="white"/>
              </w:rPr>
            </w:r>
            <w:r>
              <w:rPr>
                <w:bCs/>
                <w:sz w:val="24"/>
                <w:szCs w:val="24"/>
                <w:highlight w:val="white"/>
              </w:rPr>
            </w:r>
          </w:p>
          <w:p>
            <w:pPr>
              <w:ind w:right="97" w:firstLine="567"/>
              <w:jc w:val="both"/>
              <w:spacing w:line="276" w:lineRule="auto"/>
              <w:widowControl w:val="off"/>
              <w:rPr>
                <w:sz w:val="24"/>
                <w:szCs w:val="24"/>
                <w:highlight w:val="white"/>
              </w:rPr>
            </w:pPr>
            <w:r>
              <w:rPr>
                <w:bCs/>
                <w:iCs/>
                <w:sz w:val="24"/>
                <w:szCs w:val="24"/>
                <w:highlight w:val="white"/>
              </w:rPr>
              <w:t xml:space="preserve">- ВСН 19-89 «Правила приемки работ при строительстве и ремонте автомобильных дорог» (утв. Минавтодором РСФСР от 14.07.1989 г. №НА-18/266);</w:t>
            </w:r>
            <w:r>
              <w:rPr>
                <w:sz w:val="24"/>
                <w:szCs w:val="24"/>
                <w:highlight w:val="white"/>
              </w:rPr>
            </w:r>
            <w:r>
              <w:rPr>
                <w:sz w:val="24"/>
                <w:szCs w:val="24"/>
                <w:highlight w:val="white"/>
              </w:rPr>
            </w:r>
          </w:p>
          <w:p>
            <w:pPr>
              <w:ind w:right="97" w:firstLine="567"/>
              <w:jc w:val="both"/>
              <w:spacing w:line="276" w:lineRule="auto"/>
              <w:widowControl w:val="off"/>
              <w:rPr>
                <w:sz w:val="24"/>
                <w:szCs w:val="24"/>
                <w:highlight w:val="white"/>
              </w:rPr>
            </w:pPr>
            <w:r>
              <w:rPr>
                <w:bCs/>
                <w:iCs/>
                <w:sz w:val="24"/>
                <w:szCs w:val="24"/>
                <w:highlight w:val="white"/>
              </w:rPr>
              <w:t xml:space="preserve">- ВСН 214-89 Сборник инструкций по защите коррозий;</w:t>
            </w:r>
            <w:r>
              <w:rPr>
                <w:sz w:val="24"/>
                <w:szCs w:val="24"/>
                <w:highlight w:val="white"/>
              </w:rPr>
            </w:r>
            <w:r>
              <w:rPr>
                <w:sz w:val="24"/>
                <w:szCs w:val="24"/>
                <w:highlight w:val="white"/>
              </w:rPr>
            </w:r>
          </w:p>
          <w:p>
            <w:pPr>
              <w:ind w:right="97" w:firstLine="567"/>
              <w:jc w:val="both"/>
              <w:spacing w:line="276" w:lineRule="auto"/>
              <w:widowControl w:val="off"/>
              <w:rPr>
                <w:iCs/>
                <w:sz w:val="24"/>
                <w:szCs w:val="24"/>
                <w:highlight w:val="white"/>
              </w:rPr>
            </w:pPr>
            <w:r>
              <w:rPr>
                <w:bCs/>
                <w:iCs/>
                <w:sz w:val="24"/>
                <w:szCs w:val="24"/>
                <w:highlight w:val="white"/>
              </w:rPr>
              <w:t xml:space="preserve">- ГОСТ</w:t>
            </w:r>
            <w:r>
              <w:rPr>
                <w:bCs/>
                <w:iCs/>
                <w:sz w:val="24"/>
                <w:szCs w:val="24"/>
                <w:highlight w:val="white"/>
              </w:rPr>
              <w:t xml:space="preserve"> 32755-2014 «Дороги автомобильные общего пользования. Требования к проведению приемки в эксплуатацию выполненных работ»;</w:t>
            </w:r>
            <w:r>
              <w:rPr>
                <w:iCs/>
                <w:sz w:val="24"/>
                <w:szCs w:val="24"/>
                <w:highlight w:val="white"/>
              </w:rPr>
            </w:r>
            <w:r>
              <w:rPr>
                <w:iCs/>
                <w:sz w:val="24"/>
                <w:szCs w:val="24"/>
                <w:highlight w:val="white"/>
              </w:rPr>
            </w:r>
          </w:p>
          <w:p>
            <w:pPr>
              <w:ind w:right="97" w:firstLine="567"/>
              <w:jc w:val="both"/>
              <w:spacing w:line="276" w:lineRule="auto"/>
              <w:widowControl w:val="off"/>
              <w:rPr>
                <w:iCs/>
                <w:sz w:val="24"/>
                <w:szCs w:val="24"/>
                <w:highlight w:val="none"/>
              </w:rPr>
            </w:pPr>
            <w:r>
              <w:rPr>
                <w:bCs/>
                <w:iCs/>
                <w:sz w:val="24"/>
                <w:szCs w:val="24"/>
                <w:highlight w:val="white"/>
              </w:rPr>
              <w:t xml:space="preserve">- ГОСТ 32756-2014 «Дороги автомобильные общего пользования. Требования к проведению промежуточной приемки выполненных работ»;</w:t>
            </w:r>
            <w:r>
              <w:rPr>
                <w:iCs/>
                <w:sz w:val="24"/>
                <w:szCs w:val="24"/>
                <w:highlight w:val="none"/>
              </w:rPr>
            </w:r>
            <w:r>
              <w:rPr>
                <w:iCs/>
                <w:sz w:val="24"/>
                <w:szCs w:val="24"/>
                <w:highlight w:val="none"/>
              </w:rPr>
            </w:r>
          </w:p>
          <w:p>
            <w:pPr>
              <w:ind w:left="0" w:right="97" w:firstLine="0"/>
              <w:jc w:val="both"/>
              <w:spacing w:line="276" w:lineRule="auto"/>
              <w:widowControl w:val="off"/>
              <w:rPr>
                <w:sz w:val="24"/>
                <w:szCs w:val="24"/>
                <w:highlight w:val="white"/>
              </w:rPr>
            </w:pPr>
            <w:r>
              <w:rPr>
                <w:bCs/>
                <w:iCs/>
                <w:sz w:val="24"/>
                <w:szCs w:val="24"/>
                <w:highlight w:val="white"/>
              </w:rPr>
              <w:t xml:space="preserve">           - </w:t>
            </w:r>
            <w:r>
              <w:rPr>
                <w:bCs/>
                <w:iCs/>
                <w:sz w:val="24"/>
                <w:szCs w:val="24"/>
                <w:highlight w:val="white"/>
              </w:rPr>
              <w:t xml:space="preserve">СП 61.13330.2012 «Тепловая изоляция </w:t>
            </w:r>
            <w:r>
              <w:rPr>
                <w:bCs/>
                <w:iCs/>
                <w:sz w:val="24"/>
                <w:szCs w:val="24"/>
                <w:highlight w:val="white"/>
              </w:rPr>
              <w:t xml:space="preserve">оборудования и трубопроводов».</w:t>
            </w:r>
            <w:r>
              <w:rPr>
                <w:sz w:val="24"/>
                <w:szCs w:val="24"/>
                <w:highlight w:val="white"/>
              </w:rPr>
            </w:r>
            <w:r>
              <w:rPr>
                <w:sz w:val="24"/>
                <w:szCs w:val="24"/>
                <w:highlight w:val="white"/>
              </w:rPr>
            </w:r>
          </w:p>
          <w:p>
            <w:pPr>
              <w:ind w:right="97" w:firstLine="567"/>
              <w:jc w:val="both"/>
              <w:spacing w:line="276" w:lineRule="auto"/>
              <w:widowControl w:val="off"/>
              <w:rPr>
                <w:sz w:val="24"/>
                <w:szCs w:val="24"/>
                <w:highlight w:val="white"/>
              </w:rPr>
            </w:pPr>
            <w:r>
              <w:rPr>
                <w:bCs/>
                <w:iCs/>
                <w:sz w:val="24"/>
                <w:szCs w:val="24"/>
                <w:highlight w:val="white"/>
              </w:rPr>
              <w:t xml:space="preserve">-</w:t>
            </w:r>
            <w:r>
              <w:rPr>
                <w:bCs/>
                <w:iCs/>
                <w:sz w:val="24"/>
                <w:szCs w:val="24"/>
                <w:highlight w:val="white"/>
              </w:rPr>
              <w:t xml:space="preserve"> ГОСТ 23118-2019 «Конструк</w:t>
            </w:r>
            <w:r>
              <w:rPr>
                <w:bCs/>
                <w:iCs/>
                <w:sz w:val="24"/>
                <w:szCs w:val="24"/>
                <w:highlight w:val="white"/>
              </w:rPr>
              <w:t xml:space="preserve">ции ста</w:t>
            </w:r>
            <w:r>
              <w:rPr>
                <w:bCs/>
                <w:iCs/>
                <w:sz w:val="24"/>
                <w:szCs w:val="24"/>
                <w:highlight w:val="none"/>
              </w:rPr>
              <w:t xml:space="preserve">льные ст</w:t>
            </w:r>
            <w:r>
              <w:rPr>
                <w:bCs/>
                <w:iCs/>
                <w:sz w:val="24"/>
                <w:szCs w:val="24"/>
                <w:highlight w:val="white"/>
              </w:rPr>
              <w:t xml:space="preserve">роительные. Общие технические условия»;</w:t>
            </w:r>
            <w:r>
              <w:rPr>
                <w:sz w:val="24"/>
                <w:szCs w:val="24"/>
                <w:highlight w:val="white"/>
              </w:rPr>
            </w:r>
            <w:r>
              <w:rPr>
                <w:sz w:val="24"/>
                <w:szCs w:val="24"/>
                <w:highlight w:val="white"/>
              </w:rPr>
            </w:r>
          </w:p>
          <w:p>
            <w:pPr>
              <w:ind w:firstLine="567"/>
              <w:jc w:val="both"/>
              <w:rPr>
                <w:sz w:val="24"/>
                <w:szCs w:val="24"/>
                <w:highlight w:val="white"/>
              </w:rPr>
            </w:pPr>
            <w:r>
              <w:rPr>
                <w:sz w:val="24"/>
                <w:szCs w:val="24"/>
                <w:highlight w:val="white"/>
              </w:rPr>
              <w:t xml:space="preserve">- ГОСТ 16037-80*. Межгосударственный стандарт. Соединения сварные стальных трубопроводов. Основные типы, конструктивные элементы и размеры (введен в действие Постановлением Госстандарта СССР от 24.04.1980 г. №1876) (ред. от 01.12.1990 г.);</w:t>
            </w:r>
            <w:r>
              <w:rPr>
                <w:sz w:val="24"/>
                <w:szCs w:val="24"/>
                <w:highlight w:val="white"/>
              </w:rPr>
            </w:r>
            <w:r>
              <w:rPr>
                <w:sz w:val="24"/>
                <w:szCs w:val="24"/>
                <w:highlight w:val="white"/>
              </w:rPr>
            </w:r>
          </w:p>
          <w:p>
            <w:pPr>
              <w:ind w:firstLine="567"/>
              <w:jc w:val="both"/>
              <w:rPr>
                <w:sz w:val="24"/>
                <w:szCs w:val="24"/>
                <w:highlight w:val="white"/>
              </w:rPr>
            </w:pPr>
            <w:r>
              <w:rPr>
                <w:sz w:val="24"/>
                <w:szCs w:val="24"/>
                <w:highlight w:val="white"/>
              </w:rPr>
              <w:t xml:space="preserve">-</w:t>
            </w:r>
            <w:r>
              <w:rPr>
                <w:sz w:val="24"/>
                <w:szCs w:val="24"/>
                <w:highlight w:val="white"/>
              </w:rPr>
              <w:t xml:space="preserve">РП 3930-59-24ТС.АС </w:t>
            </w:r>
            <w:r>
              <w:rPr>
                <w:sz w:val="24"/>
                <w:szCs w:val="24"/>
                <w:highlight w:val="white"/>
              </w:rPr>
              <w:t xml:space="preserve">«Магистральная т</w:t>
            </w:r>
            <w:r>
              <w:rPr>
                <w:sz w:val="24"/>
                <w:szCs w:val="24"/>
                <w:highlight w:val="white"/>
              </w:rPr>
              <w:t xml:space="preserve">епловая сеть №01-33 по ул. Фрунзе-ул. Ключевая. Участок от ТК-23 в сторону ЦТП «Детская больница»</w:t>
            </w:r>
            <w:r>
              <w:rPr>
                <w:sz w:val="24"/>
                <w:szCs w:val="24"/>
                <w:highlight w:val="white"/>
              </w:rPr>
              <w:t xml:space="preserve"> </w:t>
            </w:r>
            <w:r>
              <w:rPr>
                <w:sz w:val="24"/>
                <w:szCs w:val="24"/>
                <w:highlight w:val="white"/>
              </w:rPr>
              <w:t xml:space="preserve">(Приложение №6 к ТТ);</w:t>
            </w:r>
            <w:r>
              <w:rPr>
                <w:sz w:val="24"/>
                <w:szCs w:val="24"/>
                <w:highlight w:val="white"/>
              </w:rPr>
            </w:r>
            <w:r>
              <w:rPr>
                <w:sz w:val="24"/>
                <w:szCs w:val="24"/>
                <w:highlight w:val="white"/>
              </w:rPr>
            </w:r>
          </w:p>
          <w:p>
            <w:pPr>
              <w:ind w:firstLine="567"/>
              <w:jc w:val="both"/>
              <w:rPr>
                <w:sz w:val="24"/>
                <w:szCs w:val="24"/>
                <w:highlight w:val="white"/>
              </w:rPr>
            </w:pPr>
            <w:r>
              <w:rPr>
                <w:sz w:val="24"/>
                <w:szCs w:val="24"/>
                <w:highlight w:val="white"/>
              </w:rPr>
            </w:r>
            <w:r>
              <w:rPr>
                <w:sz w:val="24"/>
                <w:szCs w:val="24"/>
                <w:highlight w:val="white"/>
              </w:rPr>
              <w:t xml:space="preserve">–</w:t>
              <w:tab/>
              <w:t xml:space="preserve">МДС 12-81.2007. «Методические р</w:t>
            </w:r>
            <w:r>
              <w:rPr>
                <w:sz w:val="24"/>
                <w:szCs w:val="24"/>
                <w:highlight w:val="none"/>
              </w:rPr>
              <w:t xml:space="preserve">екомендации по разработке и оформлению проекта организации строительства и проекта производства работ»;</w:t>
            </w:r>
            <w:r>
              <w:rPr>
                <w:sz w:val="24"/>
                <w:szCs w:val="24"/>
                <w:highlight w:val="white"/>
              </w:rPr>
            </w:r>
            <w:r>
              <w:rPr>
                <w:sz w:val="24"/>
                <w:szCs w:val="24"/>
                <w:highlight w:val="white"/>
              </w:rPr>
            </w:r>
          </w:p>
          <w:p>
            <w:pPr>
              <w:ind w:right="97" w:firstLine="567"/>
              <w:jc w:val="both"/>
              <w:spacing w:line="276" w:lineRule="auto"/>
              <w:widowControl w:val="off"/>
              <w:rPr>
                <w:bCs/>
                <w:iCs/>
                <w:sz w:val="24"/>
                <w:szCs w:val="24"/>
                <w:highlight w:val="white"/>
              </w:rPr>
            </w:pPr>
            <w:r>
              <w:rPr>
                <w:bCs/>
                <w:iCs/>
                <w:sz w:val="24"/>
                <w:szCs w:val="24"/>
                <w:highlight w:val="white"/>
              </w:rPr>
              <w:t xml:space="preserve">- Методические рекомендации по ремонту и содержанию автомобильных дорог общего пользования (утв. Распоряже</w:t>
            </w:r>
            <w:r>
              <w:rPr>
                <w:bCs/>
                <w:iCs/>
                <w:sz w:val="24"/>
                <w:szCs w:val="24"/>
                <w:highlight w:val="white"/>
              </w:rPr>
              <w:t xml:space="preserve">нием </w:t>
            </w:r>
            <w:r>
              <w:rPr>
                <w:bCs/>
                <w:iCs/>
                <w:sz w:val="24"/>
                <w:szCs w:val="24"/>
                <w:highlight w:val="white"/>
              </w:rPr>
              <w:t xml:space="preserve">Росавтодора</w:t>
            </w:r>
            <w:r>
              <w:rPr>
                <w:bCs/>
                <w:iCs/>
                <w:sz w:val="24"/>
                <w:szCs w:val="24"/>
                <w:highlight w:val="white"/>
              </w:rPr>
              <w:t xml:space="preserve"> Минтранса России; приняты и введены в действие Письмом </w:t>
            </w:r>
            <w:r>
              <w:rPr>
                <w:bCs/>
                <w:iCs/>
                <w:sz w:val="24"/>
                <w:szCs w:val="24"/>
                <w:highlight w:val="white"/>
              </w:rPr>
              <w:t xml:space="preserve">Росавтодора</w:t>
            </w:r>
            <w:r>
              <w:rPr>
                <w:bCs/>
                <w:iCs/>
                <w:sz w:val="24"/>
                <w:szCs w:val="24"/>
                <w:highlight w:val="white"/>
              </w:rPr>
              <w:t xml:space="preserve"> от 17.03.2004 № ОС-28/1270-ис);</w:t>
            </w:r>
            <w:r>
              <w:rPr>
                <w:bCs/>
                <w:iCs/>
                <w:sz w:val="24"/>
                <w:szCs w:val="24"/>
                <w:highlight w:val="white"/>
              </w:rPr>
            </w:r>
            <w:r>
              <w:rPr>
                <w:bCs/>
                <w:iCs/>
                <w:sz w:val="24"/>
                <w:szCs w:val="24"/>
                <w:highlight w:val="white"/>
              </w:rPr>
            </w:r>
          </w:p>
          <w:p>
            <w:pPr>
              <w:ind w:right="97" w:firstLine="567"/>
              <w:jc w:val="both"/>
              <w:spacing w:line="276" w:lineRule="auto"/>
              <w:widowControl w:val="off"/>
              <w:rPr>
                <w:bCs/>
                <w:iCs/>
                <w:sz w:val="24"/>
                <w:szCs w:val="24"/>
                <w:highlight w:val="white"/>
              </w:rPr>
            </w:pPr>
            <w:r>
              <w:rPr>
                <w:bCs/>
                <w:iCs/>
                <w:sz w:val="24"/>
                <w:szCs w:val="24"/>
                <w:highlight w:val="white"/>
              </w:rPr>
              <w:t xml:space="preserve">- ОДМ 218.6.019-2016. Отраслевой дорожный методический документ. Рекомендации по организации движения и ограждению мест производства дорожных раб</w:t>
            </w:r>
            <w:r>
              <w:rPr>
                <w:bCs/>
                <w:iCs/>
                <w:sz w:val="24"/>
                <w:szCs w:val="24"/>
                <w:highlight w:val="white"/>
              </w:rPr>
              <w:t xml:space="preserve">от (</w:t>
            </w:r>
            <w:r>
              <w:rPr>
                <w:bCs/>
                <w:iCs/>
                <w:sz w:val="24"/>
                <w:szCs w:val="24"/>
                <w:highlight w:val="white"/>
              </w:rPr>
              <w:t xml:space="preserve">издан</w:t>
            </w:r>
            <w:r>
              <w:rPr>
                <w:bCs/>
                <w:iCs/>
                <w:sz w:val="24"/>
                <w:szCs w:val="24"/>
                <w:highlight w:val="white"/>
              </w:rPr>
              <w:t xml:space="preserve"> на основании Распоряжения </w:t>
            </w:r>
            <w:r>
              <w:rPr>
                <w:bCs/>
                <w:iCs/>
                <w:sz w:val="24"/>
                <w:szCs w:val="24"/>
                <w:highlight w:val="white"/>
              </w:rPr>
              <w:t xml:space="preserve">Росавтодора</w:t>
            </w:r>
            <w:r>
              <w:rPr>
                <w:bCs/>
                <w:iCs/>
                <w:sz w:val="24"/>
                <w:szCs w:val="24"/>
                <w:highlight w:val="white"/>
              </w:rPr>
              <w:t xml:space="preserve"> от 02.03.2016 N 303-р);</w:t>
            </w:r>
            <w:r>
              <w:rPr>
                <w:bCs/>
                <w:iCs/>
                <w:sz w:val="24"/>
                <w:szCs w:val="24"/>
                <w:highlight w:val="white"/>
              </w:rPr>
            </w:r>
            <w:r>
              <w:rPr>
                <w:bCs/>
                <w:iCs/>
                <w:sz w:val="24"/>
                <w:szCs w:val="24"/>
                <w:highlight w:val="white"/>
              </w:rPr>
            </w:r>
          </w:p>
          <w:p>
            <w:pPr>
              <w:ind w:right="97" w:firstLine="567"/>
              <w:jc w:val="both"/>
              <w:spacing w:line="276" w:lineRule="auto"/>
              <w:widowControl w:val="off"/>
              <w:rPr>
                <w:iCs/>
                <w:sz w:val="24"/>
                <w:szCs w:val="24"/>
                <w:highlight w:val="white"/>
              </w:rPr>
            </w:pPr>
            <w:r>
              <w:rPr>
                <w:bCs/>
                <w:iCs/>
                <w:sz w:val="24"/>
                <w:szCs w:val="24"/>
                <w:highlight w:val="white"/>
              </w:rPr>
              <w:t xml:space="preserve">- П</w:t>
            </w:r>
            <w:r>
              <w:rPr>
                <w:bCs/>
                <w:iCs/>
                <w:sz w:val="24"/>
                <w:szCs w:val="24"/>
                <w:highlight w:val="white"/>
              </w:rPr>
              <w:t xml:space="preserve">равила организации технического обслуживания и ремонта объектов электроэнергетики (ред. от </w:t>
            </w:r>
            <w:r>
              <w:rPr>
                <w:bCs/>
                <w:iCs/>
                <w:sz w:val="24"/>
                <w:szCs w:val="24"/>
                <w:highlight w:val="white"/>
              </w:rPr>
              <w:t xml:space="preserve">13.07.2020), утв. Приказом Минэнерго России от 25.10.2017 №1013</w:t>
            </w:r>
            <w:r>
              <w:rPr>
                <w:bCs/>
                <w:iCs/>
                <w:sz w:val="24"/>
                <w:szCs w:val="24"/>
                <w:highlight w:val="white"/>
              </w:rPr>
              <w:t xml:space="preserve">;</w:t>
            </w:r>
            <w:r>
              <w:rPr>
                <w:iCs/>
                <w:sz w:val="24"/>
                <w:szCs w:val="24"/>
                <w:highlight w:val="white"/>
              </w:rPr>
            </w:r>
            <w:r>
              <w:rPr>
                <w:iCs/>
                <w:sz w:val="24"/>
                <w:szCs w:val="24"/>
                <w:highlight w:val="white"/>
              </w:rPr>
            </w:r>
          </w:p>
          <w:p>
            <w:pPr>
              <w:ind w:firstLine="567"/>
              <w:jc w:val="both"/>
              <w:rPr>
                <w:sz w:val="24"/>
                <w:szCs w:val="24"/>
                <w:highlight w:val="white"/>
              </w:rPr>
            </w:pPr>
            <w:r>
              <w:rPr>
                <w:sz w:val="24"/>
                <w:szCs w:val="24"/>
                <w:highlight w:val="white"/>
              </w:rPr>
              <w:t xml:space="preserve">- РД 34.26.095-91 Инструкцией по выполнению тепловой изоляции оборудования и трубопроводов тепловых и атомных электростанций. часть 1;</w:t>
            </w:r>
            <w:r>
              <w:rPr>
                <w:sz w:val="24"/>
                <w:szCs w:val="24"/>
                <w:highlight w:val="white"/>
              </w:rPr>
            </w:r>
            <w:r>
              <w:rPr>
                <w:sz w:val="24"/>
                <w:szCs w:val="24"/>
                <w:highlight w:val="white"/>
              </w:rPr>
            </w:r>
          </w:p>
          <w:p>
            <w:pPr>
              <w:ind w:firstLine="567"/>
              <w:jc w:val="both"/>
              <w:rPr>
                <w:sz w:val="24"/>
                <w:szCs w:val="24"/>
                <w:highlight w:val="white"/>
              </w:rPr>
            </w:pPr>
            <w:r>
              <w:rPr>
                <w:sz w:val="24"/>
                <w:szCs w:val="24"/>
                <w:highlight w:val="white"/>
              </w:rPr>
              <w:t xml:space="preserve">- РД 153-34.1-003-01 «Сварка, термообработка и контроль трубных систем котлов и трубопроводов при монтаже и ремонте энергетического оборудования» </w:t>
            </w:r>
            <w:r>
              <w:rPr>
                <w:sz w:val="24"/>
                <w:szCs w:val="24"/>
                <w:highlight w:val="white"/>
              </w:rPr>
              <w:t xml:space="preserve">(РТМ-1С). Руководящий документ. " (утв. Приказом Минэнерго РФ от 02.07.2001 г. №197);</w:t>
            </w:r>
            <w:r>
              <w:rPr>
                <w:sz w:val="24"/>
                <w:szCs w:val="24"/>
                <w:highlight w:val="white"/>
              </w:rPr>
            </w:r>
            <w:r>
              <w:rPr>
                <w:sz w:val="24"/>
                <w:szCs w:val="24"/>
                <w:highlight w:val="white"/>
              </w:rPr>
            </w:r>
          </w:p>
          <w:p>
            <w:pPr>
              <w:ind w:firstLine="567"/>
              <w:jc w:val="both"/>
              <w:rPr>
                <w:sz w:val="24"/>
                <w:szCs w:val="24"/>
                <w:highlight w:val="white"/>
              </w:rPr>
            </w:pPr>
            <w:r>
              <w:rPr>
                <w:sz w:val="24"/>
                <w:szCs w:val="24"/>
                <w:highlight w:val="white"/>
              </w:rPr>
              <w:t xml:space="preserve">- РД 03-614-03 «Порядок применения сварочного оборудования при изготовлении, монтаже, ремонте и реконструкции технических устройств для опасных производственных объектов»;</w:t>
            </w:r>
            <w:r>
              <w:rPr>
                <w:sz w:val="24"/>
                <w:szCs w:val="24"/>
                <w:highlight w:val="white"/>
              </w:rPr>
            </w:r>
            <w:r>
              <w:rPr>
                <w:sz w:val="24"/>
                <w:szCs w:val="24"/>
                <w:highlight w:val="white"/>
              </w:rPr>
            </w:r>
          </w:p>
          <w:p>
            <w:pPr>
              <w:ind w:firstLine="567"/>
              <w:jc w:val="both"/>
              <w:rPr>
                <w:sz w:val="24"/>
                <w:szCs w:val="24"/>
                <w:highlight w:val="white"/>
              </w:rPr>
            </w:pPr>
            <w:r>
              <w:rPr>
                <w:sz w:val="24"/>
                <w:szCs w:val="24"/>
                <w:highlight w:val="white"/>
              </w:rPr>
              <w:t xml:space="preserve">- РД 03-615-03 «Порядок применения сварочных технологий при изготовлении, монтаже, ремонте и реконструкции технических устройств для опасных производственных объектов»;</w:t>
            </w:r>
            <w:r>
              <w:rPr>
                <w:sz w:val="24"/>
                <w:szCs w:val="24"/>
                <w:highlight w:val="white"/>
              </w:rPr>
            </w:r>
            <w:r>
              <w:rPr>
                <w:sz w:val="24"/>
                <w:szCs w:val="24"/>
                <w:highlight w:val="white"/>
              </w:rPr>
            </w:r>
          </w:p>
          <w:p>
            <w:pPr>
              <w:ind w:right="97" w:firstLine="567"/>
              <w:jc w:val="both"/>
              <w:spacing w:line="276" w:lineRule="auto"/>
              <w:widowControl w:val="off"/>
              <w:rPr>
                <w:sz w:val="24"/>
                <w:szCs w:val="24"/>
                <w:highlight w:val="white"/>
              </w:rPr>
            </w:pPr>
            <w:r>
              <w:rPr>
                <w:bCs/>
                <w:iCs/>
                <w:sz w:val="24"/>
                <w:szCs w:val="24"/>
                <w:highlight w:val="white"/>
              </w:rPr>
              <w:t xml:space="preserve">-</w:t>
            </w:r>
            <w:r>
              <w:rPr>
                <w:bCs/>
                <w:iCs/>
                <w:sz w:val="24"/>
                <w:szCs w:val="24"/>
                <w:highlight w:val="white"/>
              </w:rPr>
              <w:t xml:space="preserve">СП 45.13330.2017 Свод правил. Земляные сооружения, основания и фундаменты. Актуализированная редакция СНиП 3.02.01-87 (ред. 20.11.2019);</w:t>
            </w:r>
            <w:r>
              <w:rPr>
                <w:sz w:val="24"/>
                <w:szCs w:val="24"/>
                <w:highlight w:val="white"/>
              </w:rPr>
            </w:r>
            <w:r>
              <w:rPr>
                <w:sz w:val="24"/>
                <w:szCs w:val="24"/>
                <w:highlight w:val="white"/>
              </w:rPr>
            </w:r>
          </w:p>
          <w:p>
            <w:pPr>
              <w:ind w:right="97" w:firstLine="567"/>
              <w:jc w:val="both"/>
              <w:spacing w:line="276" w:lineRule="auto"/>
              <w:widowControl w:val="off"/>
              <w:rPr>
                <w:sz w:val="24"/>
                <w:szCs w:val="24"/>
                <w:highlight w:val="white"/>
              </w:rPr>
            </w:pPr>
            <w:r>
              <w:rPr>
                <w:bCs/>
                <w:iCs/>
                <w:sz w:val="24"/>
                <w:szCs w:val="24"/>
                <w:highlight w:val="white"/>
              </w:rPr>
              <w:t xml:space="preserve"> </w:t>
            </w:r>
            <w:r>
              <w:rPr>
                <w:bCs/>
                <w:iCs/>
                <w:sz w:val="24"/>
                <w:szCs w:val="24"/>
                <w:highlight w:val="white"/>
              </w:rPr>
              <w:t xml:space="preserve">-</w:t>
            </w:r>
            <w:r>
              <w:rPr>
                <w:bCs/>
                <w:iCs/>
                <w:sz w:val="24"/>
                <w:szCs w:val="24"/>
                <w:highlight w:val="white"/>
              </w:rPr>
              <w:t xml:space="preserve">СП 48.13330.2019 «Организация строи</w:t>
            </w:r>
            <w:r>
              <w:rPr>
                <w:bCs/>
                <w:iCs/>
                <w:sz w:val="24"/>
                <w:szCs w:val="24"/>
                <w:highlight w:val="white"/>
              </w:rPr>
              <w:t xml:space="preserve">тельства. Актуализированная редакция СНиП 12-01-2004»;</w:t>
            </w:r>
            <w:r>
              <w:rPr>
                <w:sz w:val="24"/>
                <w:szCs w:val="24"/>
                <w:highlight w:val="white"/>
              </w:rPr>
            </w:r>
            <w:r>
              <w:rPr>
                <w:sz w:val="24"/>
                <w:szCs w:val="24"/>
                <w:highlight w:val="white"/>
              </w:rPr>
            </w:r>
          </w:p>
          <w:p>
            <w:pPr>
              <w:ind w:firstLine="567"/>
              <w:jc w:val="both"/>
              <w:rPr>
                <w:sz w:val="24"/>
                <w:szCs w:val="24"/>
                <w:highlight w:val="white"/>
              </w:rPr>
            </w:pPr>
            <w:r>
              <w:rPr>
                <w:sz w:val="24"/>
                <w:szCs w:val="24"/>
                <w:highlight w:val="white"/>
              </w:rPr>
              <w:t xml:space="preserve">- СП 71.13330.2017 «Изоляция и отделочные покрытия» (СНиП 3-04-01-87 в актуализированной ре</w:t>
            </w:r>
            <w:r>
              <w:rPr>
                <w:sz w:val="24"/>
                <w:szCs w:val="24"/>
                <w:highlight w:val="white"/>
              </w:rPr>
              <w:t xml:space="preserve">дакции утвержденной 28.08.2017);</w:t>
            </w:r>
            <w:r>
              <w:rPr>
                <w:sz w:val="24"/>
                <w:szCs w:val="24"/>
                <w:highlight w:val="white"/>
              </w:rPr>
            </w:r>
            <w:r>
              <w:rPr>
                <w:sz w:val="24"/>
                <w:szCs w:val="24"/>
                <w:highlight w:val="white"/>
              </w:rPr>
            </w:r>
          </w:p>
          <w:p>
            <w:pPr>
              <w:ind w:firstLine="567"/>
              <w:jc w:val="both"/>
              <w:rPr>
                <w:sz w:val="24"/>
                <w:szCs w:val="24"/>
                <w:highlight w:val="white"/>
              </w:rPr>
            </w:pPr>
            <w:r>
              <w:rPr>
                <w:sz w:val="24"/>
                <w:szCs w:val="24"/>
                <w:highlight w:val="white"/>
              </w:rPr>
              <w:t xml:space="preserve">- СП 72.13330.2016 «Защита строительных конструкций и сооружений от коррозии» (СНиП 3.04.03-85  в актуализированной редакции утвержденной 17.06.2017);</w:t>
            </w:r>
            <w:r>
              <w:rPr>
                <w:sz w:val="24"/>
                <w:szCs w:val="24"/>
                <w:highlight w:val="white"/>
              </w:rPr>
            </w:r>
            <w:r>
              <w:rPr>
                <w:sz w:val="24"/>
                <w:szCs w:val="24"/>
                <w:highlight w:val="white"/>
              </w:rPr>
            </w:r>
          </w:p>
          <w:p>
            <w:pPr>
              <w:ind w:right="97" w:firstLine="567"/>
              <w:jc w:val="both"/>
              <w:spacing w:line="276" w:lineRule="auto"/>
              <w:widowControl w:val="off"/>
              <w:rPr>
                <w:sz w:val="24"/>
                <w:szCs w:val="24"/>
                <w:highlight w:val="white"/>
              </w:rPr>
            </w:pPr>
            <w:r>
              <w:rPr>
                <w:bCs/>
                <w:iCs/>
                <w:sz w:val="24"/>
                <w:szCs w:val="24"/>
                <w:highlight w:val="white"/>
              </w:rPr>
              <w:t xml:space="preserve">-</w:t>
            </w:r>
            <w:r>
              <w:rPr>
                <w:bCs/>
                <w:iCs/>
                <w:sz w:val="24"/>
                <w:szCs w:val="24"/>
                <w:highlight w:val="white"/>
              </w:rPr>
              <w:t xml:space="preserve">СП 68.13330.2017 «Приемка в эксплуатацию зако</w:t>
            </w:r>
            <w:r>
              <w:rPr>
                <w:bCs/>
                <w:iCs/>
                <w:sz w:val="24"/>
                <w:szCs w:val="24"/>
                <w:highlight w:val="white"/>
              </w:rPr>
              <w:t xml:space="preserve">нченных строительством объектов. Основные положения» (с Изм. N 1) (ред. от 10.12.2019</w:t>
            </w:r>
            <w:r>
              <w:rPr>
                <w:bCs/>
                <w:iCs/>
                <w:sz w:val="24"/>
                <w:szCs w:val="24"/>
                <w:highlight w:val="white"/>
              </w:rPr>
              <w:t xml:space="preserve">);</w:t>
            </w:r>
            <w:r>
              <w:rPr>
                <w:sz w:val="24"/>
                <w:szCs w:val="24"/>
                <w:highlight w:val="white"/>
              </w:rPr>
            </w:r>
            <w:r>
              <w:rPr>
                <w:sz w:val="24"/>
                <w:szCs w:val="24"/>
                <w:highlight w:val="white"/>
              </w:rPr>
            </w:r>
          </w:p>
          <w:p>
            <w:pPr>
              <w:ind w:right="97" w:firstLine="567"/>
              <w:jc w:val="both"/>
              <w:spacing w:line="276" w:lineRule="auto"/>
              <w:widowControl w:val="off"/>
              <w:rPr>
                <w:sz w:val="24"/>
                <w:szCs w:val="24"/>
                <w:highlight w:val="white"/>
              </w:rPr>
            </w:pPr>
            <w:r>
              <w:rPr>
                <w:bCs/>
                <w:iCs/>
                <w:sz w:val="24"/>
                <w:szCs w:val="24"/>
                <w:highlight w:val="white"/>
              </w:rPr>
              <w:t xml:space="preserve">- СП 74.13330.2023 «Тепловые сети» СНиП 3.05.03-85. «Тепловые сети»);</w:t>
            </w:r>
            <w:r>
              <w:rPr>
                <w:sz w:val="24"/>
                <w:szCs w:val="24"/>
                <w:highlight w:val="white"/>
              </w:rPr>
            </w:r>
            <w:r>
              <w:rPr>
                <w:sz w:val="24"/>
                <w:szCs w:val="24"/>
                <w:highlight w:val="white"/>
              </w:rPr>
            </w:r>
          </w:p>
          <w:p>
            <w:pPr>
              <w:ind w:firstLine="567"/>
              <w:jc w:val="both"/>
              <w:rPr>
                <w:sz w:val="24"/>
                <w:szCs w:val="24"/>
                <w:highlight w:val="white"/>
              </w:rPr>
            </w:pPr>
            <w:r>
              <w:rPr>
                <w:sz w:val="24"/>
                <w:szCs w:val="24"/>
                <w:highlight w:val="white"/>
              </w:rPr>
              <w:t xml:space="preserve">- СП 70.13330.2012 «Несущие ограждения и конструкции» (актуализированная редакция СНиП 3.03.01-87);</w:t>
            </w:r>
            <w:r>
              <w:rPr>
                <w:sz w:val="24"/>
                <w:szCs w:val="24"/>
                <w:highlight w:val="white"/>
              </w:rPr>
            </w:r>
            <w:r>
              <w:rPr>
                <w:sz w:val="24"/>
                <w:szCs w:val="24"/>
                <w:highlight w:val="white"/>
              </w:rPr>
            </w:r>
          </w:p>
          <w:p>
            <w:pPr>
              <w:ind w:right="97" w:firstLine="567"/>
              <w:jc w:val="both"/>
              <w:spacing w:line="276" w:lineRule="auto"/>
              <w:widowControl w:val="off"/>
              <w:rPr>
                <w:iCs/>
                <w:sz w:val="24"/>
                <w:szCs w:val="24"/>
                <w:highlight w:val="white"/>
              </w:rPr>
            </w:pPr>
            <w:r>
              <w:rPr>
                <w:bCs/>
                <w:iCs/>
                <w:sz w:val="24"/>
                <w:szCs w:val="24"/>
                <w:highlight w:val="white"/>
              </w:rPr>
              <w:t xml:space="preserve">- С</w:t>
            </w:r>
            <w:r>
              <w:rPr>
                <w:bCs/>
                <w:iCs/>
                <w:sz w:val="24"/>
                <w:szCs w:val="24"/>
                <w:highlight w:val="white"/>
              </w:rPr>
              <w:t xml:space="preserve">П 78.13330.2012. Свод пр</w:t>
            </w:r>
            <w:r>
              <w:rPr>
                <w:bCs/>
                <w:iCs/>
                <w:sz w:val="24"/>
                <w:szCs w:val="24"/>
                <w:highlight w:val="white"/>
              </w:rPr>
              <w:t xml:space="preserve">авил. Автомобильные дороги. Актуализированная редакция СНиП 3.06.03-85 (утв. Приказом </w:t>
            </w:r>
            <w:r>
              <w:rPr>
                <w:bCs/>
                <w:iCs/>
                <w:sz w:val="24"/>
                <w:szCs w:val="24"/>
                <w:highlight w:val="white"/>
              </w:rPr>
              <w:t xml:space="preserve">Минрегиона</w:t>
            </w:r>
            <w:r>
              <w:rPr>
                <w:bCs/>
                <w:iCs/>
                <w:sz w:val="24"/>
                <w:szCs w:val="24"/>
                <w:highlight w:val="white"/>
              </w:rPr>
              <w:t xml:space="preserve"> России от 30.06.2012 № 272) с изм. №1 от 17.06.2017, с изм.№2 от 20.11.2021;</w:t>
            </w:r>
            <w:r>
              <w:rPr>
                <w:iCs/>
                <w:sz w:val="24"/>
                <w:szCs w:val="24"/>
                <w:highlight w:val="white"/>
              </w:rPr>
            </w:r>
            <w:r>
              <w:rPr>
                <w:iCs/>
                <w:sz w:val="24"/>
                <w:szCs w:val="24"/>
                <w:highlight w:val="white"/>
              </w:rPr>
            </w:r>
          </w:p>
          <w:p>
            <w:pPr>
              <w:ind w:left="5" w:firstLine="562"/>
              <w:jc w:val="both"/>
              <w:rPr>
                <w:sz w:val="24"/>
                <w:szCs w:val="24"/>
                <w:highlight w:val="none"/>
              </w:rPr>
            </w:pPr>
            <w:r>
              <w:rPr>
                <w:sz w:val="24"/>
                <w:szCs w:val="24"/>
                <w:highlight w:val="white"/>
              </w:rPr>
              <w:t xml:space="preserve">- СП 124.13330.2012. «Свод правил. Тепловые сети. Актуализированная редакция СНиП 41-02-2003 (утв. Приказом Минрегиона России от 30.06.2012 г. №280);</w:t>
            </w:r>
            <w:r>
              <w:rPr>
                <w:sz w:val="24"/>
                <w:szCs w:val="24"/>
                <w:highlight w:val="none"/>
              </w:rPr>
            </w:r>
            <w:r>
              <w:rPr>
                <w:sz w:val="24"/>
                <w:szCs w:val="24"/>
                <w:highlight w:val="none"/>
              </w:rPr>
            </w:r>
          </w:p>
          <w:p>
            <w:pPr>
              <w:ind w:left="5" w:firstLine="562"/>
              <w:jc w:val="both"/>
              <w:rPr>
                <w:sz w:val="24"/>
                <w:szCs w:val="24"/>
                <w:highlight w:val="none"/>
              </w:rPr>
            </w:pPr>
            <w:r>
              <w:rPr>
                <w:sz w:val="24"/>
                <w:szCs w:val="24"/>
                <w:highlight w:val="white"/>
              </w:rPr>
              <w:t xml:space="preserve">- ТУ</w:t>
            </w:r>
            <w:r>
              <w:rPr>
                <w:sz w:val="24"/>
                <w:szCs w:val="24"/>
                <w:highlight w:val="white"/>
              </w:rPr>
              <w:t xml:space="preserve"> </w:t>
            </w:r>
            <w:r>
              <w:rPr>
                <w:sz w:val="24"/>
                <w:szCs w:val="24"/>
                <w:highlight w:val="white"/>
              </w:rPr>
              <w:t xml:space="preserve">5768-001-91579448-2013  (в редакции от 07.08.2023) </w:t>
            </w:r>
            <w:r>
              <w:rPr>
                <w:sz w:val="24"/>
                <w:szCs w:val="24"/>
                <w:highlight w:val="white"/>
              </w:rPr>
              <w:t xml:space="preserve">Трубы стеклопластиковые теплоизолированные для тепловых </w:t>
            </w:r>
            <w:r>
              <w:rPr>
                <w:sz w:val="24"/>
                <w:szCs w:val="24"/>
                <w:highlight w:val="white"/>
              </w:rPr>
              <w:t xml:space="preserve">коммуникаций и других инженерных сетей, соединительные детали и </w:t>
            </w:r>
            <w:r>
              <w:rPr>
                <w:sz w:val="24"/>
                <w:szCs w:val="24"/>
                <w:highlight w:val="white"/>
              </w:rPr>
              <w:t xml:space="preserve">соединения тепловой системы "Экотерм" (Приложение  №6 к ТТ)</w:t>
            </w:r>
            <w:r>
              <w:rPr>
                <w:sz w:val="24"/>
                <w:szCs w:val="24"/>
                <w:highlight w:val="white"/>
              </w:rPr>
              <w:t xml:space="preserve">;</w:t>
            </w:r>
            <w:r>
              <w:rPr>
                <w:sz w:val="24"/>
                <w:szCs w:val="24"/>
                <w:highlight w:val="none"/>
              </w:rPr>
            </w:r>
            <w:r>
              <w:rPr>
                <w:sz w:val="24"/>
                <w:szCs w:val="24"/>
                <w:highlight w:val="none"/>
              </w:rPr>
            </w:r>
          </w:p>
          <w:p>
            <w:pPr>
              <w:ind w:left="5" w:firstLine="562"/>
              <w:jc w:val="both"/>
            </w:pPr>
            <w:r>
              <w:rPr>
                <w:sz w:val="24"/>
                <w:szCs w:val="24"/>
                <w:highlight w:val="none"/>
              </w:rPr>
              <w:t xml:space="preserve">-  СТО 91579448-02.2-2015 ООО «Синтез».</w:t>
            </w:r>
            <w:r>
              <w:rPr>
                <w:rFonts w:eastAsia="Calibri"/>
                <w:sz w:val="24"/>
                <w:szCs w:val="24"/>
                <w:highlight w:val="white"/>
              </w:rPr>
            </w:r>
            <w:r/>
          </w:p>
          <w:p>
            <w:pPr>
              <w:ind w:right="97" w:firstLine="567"/>
              <w:jc w:val="both"/>
              <w:spacing w:line="276" w:lineRule="auto"/>
              <w:widowControl w:val="off"/>
              <w:rPr>
                <w:bCs/>
                <w:i/>
                <w:sz w:val="24"/>
                <w:szCs w:val="24"/>
                <w:highlight w:val="white"/>
              </w:rPr>
            </w:pPr>
            <w:r>
              <w:rPr>
                <w:bCs/>
                <w:i/>
                <w:sz w:val="24"/>
                <w:szCs w:val="24"/>
                <w:highlight w:val="white"/>
              </w:rPr>
              <w:t xml:space="preserve">В случае</w:t>
            </w:r>
            <w:r>
              <w:rPr>
                <w:bCs/>
                <w:i/>
                <w:sz w:val="24"/>
                <w:szCs w:val="24"/>
                <w:highlight w:val="white"/>
              </w:rPr>
              <w:t xml:space="preserve">,</w:t>
            </w:r>
            <w:r>
              <w:rPr>
                <w:bCs/>
                <w:i/>
                <w:sz w:val="24"/>
                <w:szCs w:val="24"/>
                <w:highlight w:val="white"/>
              </w:rPr>
              <w:t xml:space="preserve"> если какой-либо из указанных нормативных документов был отменен в связи с выпуском новой редакции стандарта в процессе проведения закупки и/или исполнения Договора, то необходимо применять нормативный документ, принятый в его развитие.</w:t>
            </w:r>
            <w:r>
              <w:rPr>
                <w:bCs/>
                <w:i/>
                <w:sz w:val="24"/>
                <w:szCs w:val="24"/>
                <w:highlight w:val="white"/>
              </w:rPr>
            </w:r>
            <w:r>
              <w:rPr>
                <w:bCs/>
                <w:i/>
                <w:sz w:val="24"/>
                <w:szCs w:val="24"/>
                <w:highlight w:val="white"/>
              </w:rPr>
            </w:r>
          </w:p>
        </w:tc>
        <w:tc>
          <w:tcPr>
            <w:shd w:val="clear" w:color="auto" w:fill="auto"/>
            <w:tcW w:w="3402" w:type="dxa"/>
            <w:vMerge w:val="continue"/>
            <w:textDirection w:val="lrTb"/>
            <w:noWrap w:val="false"/>
          </w:tcPr>
          <w:p>
            <w:r/>
            <w:r/>
          </w:p>
        </w:tc>
        <w:tc>
          <w:tcPr>
            <w:shd w:val="clear" w:color="auto" w:fill="auto"/>
            <w:tcW w:w="2407" w:type="dxa"/>
            <w:vMerge w:val="continue"/>
            <w:textDirection w:val="lrTb"/>
            <w:noWrap w:val="false"/>
          </w:tcPr>
          <w:p>
            <w:r/>
            <w:r/>
          </w:p>
        </w:tc>
      </w:tr>
      <w:tr>
        <w:tblPrEx/>
        <w:trPr/>
        <w:tc>
          <w:tcPr>
            <w:tcW w:w="680" w:type="dxa"/>
            <w:vAlign w:val="center"/>
            <w:textDirection w:val="lrTb"/>
            <w:noWrap w:val="false"/>
          </w:tcPr>
          <w:p>
            <w:pPr>
              <w:pStyle w:val="1024"/>
              <w:numPr>
                <w:ilvl w:val="1"/>
                <w:numId w:val="6"/>
              </w:numPr>
              <w:ind w:left="-117" w:firstLine="142"/>
              <w:jc w:val="center"/>
              <w:spacing w:before="60" w:after="60"/>
              <w:rPr>
                <w:b/>
                <w:bCs/>
              </w:rPr>
            </w:pPr>
            <w:r>
              <w:rPr>
                <w:b/>
                <w:bCs/>
              </w:rPr>
            </w:r>
            <w:r>
              <w:rPr>
                <w:b/>
                <w:bCs/>
              </w:rPr>
            </w:r>
            <w:r>
              <w:rPr>
                <w:b/>
                <w:bCs/>
              </w:rPr>
            </w:r>
          </w:p>
        </w:tc>
        <w:tc>
          <w:tcPr>
            <w:gridSpan w:val="2"/>
            <w:tcW w:w="8645" w:type="dxa"/>
            <w:vAlign w:val="center"/>
            <w:textDirection w:val="lrTb"/>
            <w:noWrap w:val="false"/>
          </w:tcPr>
          <w:p>
            <w:pPr>
              <w:spacing w:before="60"/>
              <w:rPr>
                <w:b/>
                <w:sz w:val="24"/>
                <w:szCs w:val="24"/>
              </w:rPr>
            </w:pPr>
            <w:r>
              <w:rPr>
                <w:b/>
                <w:sz w:val="24"/>
                <w:szCs w:val="24"/>
              </w:rPr>
              <w:t xml:space="preserve">Требования к организации работ</w:t>
            </w:r>
            <w:r>
              <w:rPr>
                <w:b/>
                <w:sz w:val="24"/>
                <w:szCs w:val="24"/>
              </w:rPr>
            </w:r>
            <w:r>
              <w:rPr>
                <w:b/>
                <w:sz w:val="24"/>
                <w:szCs w:val="24"/>
              </w:rPr>
            </w:r>
          </w:p>
        </w:tc>
        <w:tc>
          <w:tcPr>
            <w:tcW w:w="3402" w:type="dxa"/>
            <w:vMerge w:val="continue"/>
            <w:textDirection w:val="lrTb"/>
            <w:noWrap w:val="false"/>
          </w:tcPr>
          <w:p>
            <w:r/>
            <w:r/>
          </w:p>
        </w:tc>
        <w:tc>
          <w:tcPr>
            <w:tcW w:w="2407" w:type="dxa"/>
            <w:vMerge w:val="continue"/>
            <w:textDirection w:val="lrTb"/>
            <w:noWrap w:val="false"/>
          </w:tcPr>
          <w:p>
            <w:r/>
            <w:r/>
          </w:p>
        </w:tc>
      </w:tr>
      <w:tr>
        <w:tblPrEx/>
        <w:trPr>
          <w:trHeight w:val="320"/>
        </w:trPr>
        <w:tc>
          <w:tcPr>
            <w:tcW w:w="680" w:type="dxa"/>
            <w:vAlign w:val="center"/>
            <w:textDirection w:val="lrTb"/>
            <w:noWrap w:val="false"/>
          </w:tcPr>
          <w:p>
            <w:pPr>
              <w:pStyle w:val="1024"/>
              <w:numPr>
                <w:ilvl w:val="2"/>
                <w:numId w:val="6"/>
              </w:numPr>
              <w:ind w:hanging="1199"/>
              <w:jc w:val="center"/>
              <w:spacing w:before="60" w:after="60"/>
              <w:rPr>
                <w:sz w:val="20"/>
                <w:szCs w:val="20"/>
              </w:rPr>
            </w:pPr>
            <w:r>
              <w:rPr>
                <w:sz w:val="20"/>
                <w:szCs w:val="20"/>
              </w:rPr>
            </w:r>
            <w:r>
              <w:rPr>
                <w:sz w:val="20"/>
                <w:szCs w:val="20"/>
              </w:rPr>
            </w:r>
            <w:r>
              <w:rPr>
                <w:sz w:val="20"/>
                <w:szCs w:val="20"/>
              </w:rPr>
            </w:r>
          </w:p>
        </w:tc>
        <w:tc>
          <w:tcPr>
            <w:tcW w:w="2126" w:type="dxa"/>
            <w:textDirection w:val="lrTb"/>
            <w:noWrap w:val="false"/>
          </w:tcPr>
          <w:p>
            <w:pPr>
              <w:spacing w:before="60"/>
              <w:widowControl w:val="off"/>
              <w:tabs>
                <w:tab w:val="left" w:pos="426" w:leader="none"/>
              </w:tabs>
              <w:rPr>
                <w:b/>
                <w:sz w:val="24"/>
                <w:szCs w:val="24"/>
              </w:rPr>
            </w:pPr>
            <w:r>
              <w:rPr>
                <w:sz w:val="24"/>
                <w:szCs w:val="24"/>
              </w:rPr>
              <w:t xml:space="preserve">Требования к организации процесса выполнения работ:</w:t>
            </w:r>
            <w:r>
              <w:rPr>
                <w:b/>
                <w:sz w:val="24"/>
                <w:szCs w:val="24"/>
              </w:rPr>
            </w:r>
            <w:r>
              <w:rPr>
                <w:b/>
                <w:sz w:val="24"/>
                <w:szCs w:val="24"/>
              </w:rPr>
            </w:r>
          </w:p>
        </w:tc>
        <w:tc>
          <w:tcPr>
            <w:tcW w:w="6519" w:type="dxa"/>
            <w:vMerge w:val="restart"/>
            <w:textDirection w:val="lrTb"/>
            <w:noWrap w:val="false"/>
          </w:tcPr>
          <w:p>
            <w:pPr>
              <w:ind w:left="5" w:right="97" w:firstLine="562"/>
              <w:jc w:val="both"/>
              <w:spacing w:line="276" w:lineRule="auto"/>
              <w:widowControl w:val="off"/>
              <w:rPr>
                <w:sz w:val="24"/>
                <w:szCs w:val="24"/>
                <w:highlight w:val="none"/>
              </w:rPr>
            </w:pPr>
            <w:r>
              <w:rPr>
                <w:sz w:val="24"/>
                <w:szCs w:val="24"/>
                <w:highlight w:val="none"/>
              </w:rPr>
              <w:t xml:space="preserve">К</w:t>
            </w:r>
            <w:r>
              <w:rPr>
                <w:sz w:val="24"/>
                <w:szCs w:val="24"/>
                <w:highlight w:val="none"/>
              </w:rPr>
              <w:t xml:space="preserve">омплекс организационно–технических мероприятий, выполняемый при подготовке к ремонту</w:t>
            </w:r>
            <w:r>
              <w:rPr>
                <w:sz w:val="24"/>
                <w:szCs w:val="24"/>
                <w:highlight w:val="white"/>
              </w:rPr>
              <w:t xml:space="preserve">, должен обеспечивать планомерное и качественное выполнение </w:t>
            </w:r>
            <w:r>
              <w:rPr>
                <w:sz w:val="24"/>
                <w:szCs w:val="24"/>
                <w:highlight w:val="white"/>
              </w:rPr>
              <w:t xml:space="preserve">работ в установленные сроки, качество </w:t>
            </w:r>
            <w:r>
              <w:rPr>
                <w:sz w:val="24"/>
                <w:szCs w:val="24"/>
                <w:highlight w:val="white"/>
              </w:rPr>
              <w:t xml:space="preserve">ремонтных работ</w:t>
            </w:r>
            <w:r>
              <w:rPr>
                <w:sz w:val="24"/>
                <w:szCs w:val="24"/>
                <w:highlight w:val="none"/>
              </w:rPr>
              <w:t xml:space="preserve">, оптимальное расход</w:t>
            </w:r>
            <w:r>
              <w:rPr>
                <w:sz w:val="24"/>
                <w:szCs w:val="24"/>
                <w:highlight w:val="none"/>
              </w:rPr>
              <w:t xml:space="preserve">о</w:t>
            </w:r>
            <w:r>
              <w:rPr>
                <w:sz w:val="24"/>
                <w:szCs w:val="24"/>
                <w:highlight w:val="none"/>
              </w:rPr>
              <w:t xml:space="preserve">вание материально-технических и трудовые ресурсов. </w:t>
            </w:r>
            <w:r>
              <w:rPr>
                <w:sz w:val="24"/>
                <w:szCs w:val="24"/>
                <w:highlight w:val="none"/>
              </w:rPr>
              <w:t xml:space="preserve">Подрядчик разрабатывает планы подготовки к ремонту в соответствии с планами производственных объектов, принятыми к исполнению объемами работ и согласованным участием в материально-техническом обеспечении ремонтных работ.</w:t>
            </w:r>
            <w:r>
              <w:rPr>
                <w:sz w:val="24"/>
                <w:szCs w:val="24"/>
                <w:highlight w:val="none"/>
              </w:rPr>
            </w:r>
            <w:r>
              <w:rPr>
                <w:sz w:val="24"/>
                <w:szCs w:val="24"/>
                <w:highlight w:val="none"/>
              </w:rPr>
            </w:r>
          </w:p>
          <w:p>
            <w:pPr>
              <w:ind w:left="5" w:right="97" w:firstLine="562"/>
              <w:jc w:val="both"/>
              <w:spacing w:line="276" w:lineRule="auto"/>
              <w:widowControl w:val="off"/>
            </w:pPr>
            <w:r>
              <w:rPr>
                <w:sz w:val="24"/>
                <w:szCs w:val="24"/>
                <w:highlight w:val="none"/>
              </w:rPr>
              <w:t xml:space="preserve">И</w:t>
            </w:r>
            <w:r>
              <w:rPr>
                <w:sz w:val="24"/>
                <w:szCs w:val="24"/>
                <w:highlight w:val="none"/>
              </w:rPr>
              <w:t xml:space="preserve">зменения объемов работ, предусмотренных ведомостью планируемых работ, оформляются в соответствии с требованиями Правил ТОиР (ведомостью дополнительных работ по ремонту и протоколом исключения работ из ведомости планируемых работ по ремонту), согласовываютс</w:t>
            </w:r>
            <w:r>
              <w:rPr>
                <w:sz w:val="24"/>
                <w:szCs w:val="24"/>
                <w:highlight w:val="none"/>
              </w:rPr>
              <w:t xml:space="preserve">я</w:t>
            </w:r>
            <w:r>
              <w:rPr>
                <w:sz w:val="24"/>
                <w:szCs w:val="24"/>
                <w:highlight w:val="none"/>
              </w:rPr>
              <w:t xml:space="preserve"> с Подрядчиком и утверждаются техническим руководителем структурного подразделения, ответственного за непосредственную эксплуатацию производственного объекта. Перечень, форма и сроки передачи ремонтной документации, передаваемой Заказчиком, ответственным з</w:t>
            </w:r>
            <w:r>
              <w:rPr>
                <w:sz w:val="24"/>
                <w:szCs w:val="24"/>
                <w:highlight w:val="none"/>
              </w:rPr>
              <w:t xml:space="preserve">а непосредственную эксплуатацию производственного объекта, определяется условиями договора.</w:t>
            </w:r>
            <w:r/>
          </w:p>
          <w:p>
            <w:pPr>
              <w:ind w:left="5" w:right="97" w:firstLine="562"/>
              <w:jc w:val="both"/>
              <w:spacing w:line="276" w:lineRule="auto"/>
              <w:widowControl w:val="off"/>
              <w:rPr>
                <w:sz w:val="24"/>
                <w:szCs w:val="24"/>
                <w:highlight w:val="white"/>
              </w:rPr>
            </w:pPr>
            <w:r>
              <w:rPr>
                <w:sz w:val="24"/>
                <w:szCs w:val="24"/>
                <w:highlight w:val="white"/>
              </w:rPr>
              <w:t xml:space="preserve">До начала ремонта подрядная организация:</w:t>
            </w:r>
            <w:r>
              <w:rPr>
                <w:sz w:val="24"/>
                <w:szCs w:val="24"/>
                <w:highlight w:val="white"/>
              </w:rPr>
            </w:r>
            <w:r>
              <w:rPr>
                <w:sz w:val="24"/>
                <w:szCs w:val="24"/>
                <w:highlight w:val="white"/>
              </w:rPr>
            </w:r>
          </w:p>
          <w:p>
            <w:pPr>
              <w:pStyle w:val="1024"/>
              <w:ind w:left="0" w:firstLine="709"/>
              <w:jc w:val="both"/>
              <w:rPr>
                <w:highlight w:val="white"/>
              </w:rPr>
            </w:pPr>
            <w:r>
              <w:rPr>
                <w:highlight w:val="white"/>
              </w:rPr>
              <w:t xml:space="preserve"> </w:t>
            </w:r>
            <w:r>
              <w:rPr>
                <w:highlight w:val="white"/>
              </w:rPr>
              <w:t xml:space="preserve">–</w:t>
              <w:tab/>
              <w:t xml:space="preserve">проводит проверку выполнения подготовительных работ в соответствии с планом подготовки к ремонту.</w:t>
            </w:r>
            <w:r>
              <w:rPr>
                <w:highlight w:val="white"/>
              </w:rPr>
            </w:r>
            <w:r>
              <w:rPr>
                <w:highlight w:val="white"/>
              </w:rPr>
            </w:r>
          </w:p>
          <w:p>
            <w:pPr>
              <w:pStyle w:val="1024"/>
              <w:ind w:left="0" w:firstLine="709"/>
              <w:jc w:val="both"/>
              <w:rPr>
                <w:highlight w:val="white"/>
              </w:rPr>
            </w:pPr>
            <w:r>
              <w:rPr>
                <w:highlight w:val="white"/>
              </w:rPr>
              <w:t xml:space="preserve">–</w:t>
              <w:tab/>
              <w:t xml:space="preserve">определяет состав бригад (участков) по численности, квалификации и профессиям в соответствии с графиком ремонта. При этом должна быть обеспечена полная занятость рабочих в течение установленных графиком сроков производства работ; </w:t>
            </w:r>
            <w:r>
              <w:rPr>
                <w:highlight w:val="white"/>
              </w:rPr>
            </w:r>
            <w:r>
              <w:rPr>
                <w:highlight w:val="white"/>
              </w:rPr>
            </w:r>
          </w:p>
          <w:p>
            <w:pPr>
              <w:pStyle w:val="1024"/>
              <w:ind w:left="0" w:firstLine="709"/>
              <w:jc w:val="both"/>
              <w:rPr>
                <w:highlight w:val="white"/>
              </w:rPr>
            </w:pPr>
            <w:r>
              <w:rPr>
                <w:highlight w:val="white"/>
              </w:rPr>
              <w:t xml:space="preserve">–</w:t>
              <w:tab/>
              <w:t xml:space="preserve">назначает руководителей работ по ремонту отдельных видов работ в соответствии с номенклатурой и объемом работ, принятым по договору;</w:t>
            </w:r>
            <w:r>
              <w:rPr>
                <w:highlight w:val="white"/>
              </w:rPr>
            </w:r>
            <w:r>
              <w:rPr>
                <w:highlight w:val="white"/>
              </w:rPr>
            </w:r>
          </w:p>
          <w:p>
            <w:pPr>
              <w:pStyle w:val="1024"/>
              <w:ind w:left="0" w:firstLine="709"/>
              <w:jc w:val="both"/>
              <w:spacing w:line="276" w:lineRule="auto"/>
              <w:rPr>
                <w:highlight w:val="white"/>
              </w:rPr>
            </w:pPr>
            <w:r>
              <w:rPr>
                <w:highlight w:val="white"/>
              </w:rPr>
              <w:t xml:space="preserve">–</w:t>
              <w:tab/>
              <w:t xml:space="preserve">назначает лиц, ответственных за соблюдение норм и правил в области охраны труда, электробезопасности, пожарной и промышленной безопасности и материально–техническое обеспечение. </w:t>
            </w:r>
            <w:r>
              <w:rPr>
                <w:color w:val="000000"/>
                <w:highlight w:val="white"/>
              </w:rPr>
              <w:t xml:space="preserve">Подрядчик обязан обеспечить присутствие указанных лиц в месте производства Работ в течение всего срока их выполнения</w:t>
            </w:r>
            <w:r>
              <w:rPr>
                <w:highlight w:val="white"/>
              </w:rPr>
              <w:t xml:space="preserve">; </w:t>
            </w:r>
            <w:r>
              <w:rPr>
                <w:highlight w:val="white"/>
              </w:rPr>
            </w:r>
            <w:r>
              <w:rPr>
                <w:highlight w:val="white"/>
              </w:rPr>
            </w:r>
          </w:p>
          <w:p>
            <w:pPr>
              <w:pStyle w:val="1024"/>
              <w:ind w:left="0" w:firstLine="709"/>
              <w:jc w:val="both"/>
              <w:spacing w:line="276" w:lineRule="auto"/>
              <w:rPr>
                <w:highlight w:val="white"/>
              </w:rPr>
            </w:pPr>
            <w:r>
              <w:rPr>
                <w:highlight w:val="white"/>
              </w:rPr>
              <w:t xml:space="preserve">–</w:t>
              <w:tab/>
              <w:t xml:space="preserve">проверяет удостоверения лиц других специальностей на право выполнения работ при ремонте объекта;</w:t>
            </w:r>
            <w:r>
              <w:rPr>
                <w:highlight w:val="white"/>
              </w:rPr>
            </w:r>
            <w:r>
              <w:rPr>
                <w:highlight w:val="white"/>
              </w:rPr>
            </w:r>
          </w:p>
          <w:p>
            <w:pPr>
              <w:pStyle w:val="1024"/>
              <w:ind w:left="0" w:firstLine="709"/>
              <w:jc w:val="both"/>
              <w:spacing w:line="276" w:lineRule="auto"/>
              <w:rPr>
                <w:highlight w:val="white"/>
              </w:rPr>
            </w:pPr>
            <w:r>
              <w:rPr>
                <w:highlight w:val="white"/>
              </w:rPr>
              <w:t xml:space="preserve">–</w:t>
              <w:tab/>
              <w:t xml:space="preserve">проверяет выполнение требований допуска ремонтного и командированного персонала, предусмотренного п. 1.2.2 ТТ;</w:t>
            </w:r>
            <w:r>
              <w:rPr>
                <w:highlight w:val="white"/>
              </w:rPr>
            </w:r>
            <w:r>
              <w:rPr>
                <w:highlight w:val="white"/>
              </w:rPr>
            </w:r>
          </w:p>
          <w:p>
            <w:pPr>
              <w:pStyle w:val="1024"/>
              <w:ind w:left="0" w:firstLine="709"/>
              <w:jc w:val="both"/>
              <w:spacing w:line="276" w:lineRule="auto"/>
              <w:rPr>
                <w:highlight w:val="white"/>
              </w:rPr>
            </w:pPr>
            <w:r>
              <w:rPr>
                <w:highlight w:val="white"/>
              </w:rPr>
              <w:t xml:space="preserve">–</w:t>
              <w:tab/>
              <w:t xml:space="preserve">разрабатывают и предоставляют Заказчику на согласование ППР с указанием </w:t>
            </w:r>
            <w:r>
              <w:rPr>
                <w:bCs/>
                <w:highlight w:val="white"/>
              </w:rPr>
              <w:t xml:space="preserve">общих методов и технологии работ, организационных вопросов с приложением графика выполнения работ (с указанием сроков выполнения работ, физических объёмов, потребных трудозатрат и материалов).</w:t>
            </w:r>
            <w:r>
              <w:rPr>
                <w:highlight w:val="white"/>
              </w:rPr>
            </w:r>
            <w:r>
              <w:rPr>
                <w:highlight w:val="white"/>
              </w:rPr>
            </w:r>
          </w:p>
          <w:p>
            <w:pPr>
              <w:ind w:left="5" w:right="97" w:firstLine="562"/>
              <w:jc w:val="both"/>
              <w:spacing w:line="276" w:lineRule="auto"/>
              <w:widowControl w:val="off"/>
              <w:rPr>
                <w:sz w:val="22"/>
                <w:szCs w:val="22"/>
                <w:highlight w:val="none"/>
                <w14:ligatures w14:val="none"/>
              </w:rPr>
            </w:pPr>
            <w:r>
              <w:rPr>
                <w:sz w:val="24"/>
                <w:szCs w:val="24"/>
                <w:highlight w:val="white"/>
              </w:rPr>
              <w:t xml:space="preserve">Руководители работ подрядных организаций, участвующие в производстве Работ совместно с представителями Заказчика, осу</w:t>
            </w:r>
            <w:r>
              <w:rPr>
                <w:sz w:val="24"/>
                <w:szCs w:val="24"/>
                <w:highlight w:val="white"/>
              </w:rPr>
              <w:t xml:space="preserve">щ</w:t>
            </w:r>
            <w:r>
              <w:rPr>
                <w:sz w:val="24"/>
                <w:szCs w:val="24"/>
                <w:highlight w:val="white"/>
              </w:rPr>
              <w:t xml:space="preserve">ествляют входной контроль качества применяемых материалов,</w:t>
            </w:r>
            <w:r>
              <w:rPr>
                <w:sz w:val="24"/>
                <w:szCs w:val="24"/>
                <w:highlight w:val="none"/>
              </w:rPr>
              <w:t xml:space="preserve"> проводят оперативный контроль качества выполняемых ремонтных работ, проверяют соблюдение технологической дисциплины (выполнение требований технологической документации, качества применяемой оснаст</w:t>
            </w:r>
            <w:r>
              <w:rPr>
                <w:sz w:val="24"/>
                <w:szCs w:val="24"/>
                <w:highlight w:val="none"/>
              </w:rPr>
              <w:t xml:space="preserve">ки, приспособлений и инструмента).</w:t>
            </w:r>
            <w:r>
              <w:rPr>
                <w:sz w:val="22"/>
                <w:szCs w:val="22"/>
                <w:highlight w:val="none"/>
                <w14:ligatures w14:val="none"/>
              </w:rPr>
            </w:r>
            <w:r>
              <w:rPr>
                <w:sz w:val="22"/>
                <w:szCs w:val="22"/>
                <w:highlight w:val="none"/>
                <w14:ligatures w14:val="none"/>
              </w:rPr>
            </w:r>
          </w:p>
          <w:p>
            <w:pPr>
              <w:ind w:left="5" w:right="97" w:firstLine="562"/>
              <w:jc w:val="both"/>
              <w:spacing w:line="276" w:lineRule="auto"/>
              <w:widowControl w:val="off"/>
              <w:rPr>
                <w:bCs/>
                <w:i/>
                <w:sz w:val="24"/>
                <w:szCs w:val="24"/>
              </w:rPr>
            </w:pPr>
            <w:r>
              <w:rPr>
                <w:i/>
                <w:iCs/>
                <w:sz w:val="24"/>
                <w:szCs w:val="24"/>
                <w:highlight w:val="none"/>
              </w:rPr>
              <w:t xml:space="preserve">Более подробно требования к организации работ указаны в проекте договора подряда (в том числе в разделе №2), который включен в состав Документации о закупке.</w:t>
            </w:r>
            <w:r>
              <w:rPr>
                <w:bCs/>
                <w:i/>
                <w:sz w:val="24"/>
                <w:szCs w:val="24"/>
              </w:rPr>
            </w:r>
            <w:r>
              <w:rPr>
                <w:bCs/>
                <w:i/>
                <w:sz w:val="24"/>
                <w:szCs w:val="24"/>
              </w:rPr>
            </w:r>
          </w:p>
        </w:tc>
        <w:tc>
          <w:tcPr>
            <w:tcW w:w="3402" w:type="dxa"/>
            <w:vMerge w:val="continue"/>
            <w:textDirection w:val="lrTb"/>
            <w:noWrap w:val="false"/>
          </w:tcPr>
          <w:p>
            <w:r/>
            <w:r/>
          </w:p>
        </w:tc>
        <w:tc>
          <w:tcPr>
            <w:tcW w:w="2407" w:type="dxa"/>
            <w:vMerge w:val="continue"/>
            <w:textDirection w:val="lrTb"/>
            <w:noWrap w:val="false"/>
          </w:tcPr>
          <w:p>
            <w:r/>
            <w:r/>
          </w:p>
        </w:tc>
      </w:tr>
      <w:tr>
        <w:tblPrEx/>
        <w:trPr>
          <w:trHeight w:val="320"/>
        </w:trPr>
        <w:tc>
          <w:tcPr>
            <w:tcW w:w="680" w:type="dxa"/>
            <w:vAlign w:val="center"/>
            <w:textDirection w:val="lrTb"/>
            <w:noWrap w:val="false"/>
          </w:tcPr>
          <w:p>
            <w:pPr>
              <w:pStyle w:val="1024"/>
              <w:numPr>
                <w:ilvl w:val="2"/>
                <w:numId w:val="6"/>
              </w:numPr>
              <w:ind w:hanging="1199"/>
              <w:jc w:val="center"/>
              <w:spacing w:before="60" w:after="60" w:line="276" w:lineRule="auto"/>
              <w:rPr>
                <w:sz w:val="20"/>
                <w:szCs w:val="20"/>
              </w:rPr>
            </w:pPr>
            <w:r>
              <w:rPr>
                <w:sz w:val="20"/>
                <w:szCs w:val="20"/>
              </w:rPr>
            </w:r>
            <w:r>
              <w:rPr>
                <w:sz w:val="20"/>
                <w:szCs w:val="20"/>
              </w:rPr>
            </w:r>
            <w:r>
              <w:rPr>
                <w:sz w:val="20"/>
                <w:szCs w:val="20"/>
              </w:rPr>
            </w:r>
          </w:p>
        </w:tc>
        <w:tc>
          <w:tcPr>
            <w:tcW w:w="2126" w:type="dxa"/>
            <w:vAlign w:val="center"/>
            <w:textDirection w:val="lrTb"/>
            <w:noWrap w:val="false"/>
          </w:tcPr>
          <w:p>
            <w:pPr>
              <w:spacing w:before="60"/>
              <w:widowControl w:val="off"/>
              <w:tabs>
                <w:tab w:val="left" w:pos="426" w:leader="none"/>
              </w:tabs>
              <w:rPr>
                <w:sz w:val="22"/>
                <w:szCs w:val="22"/>
                <w:highlight w:val="white"/>
              </w:rPr>
            </w:pPr>
            <w:r>
              <w:rPr>
                <w:sz w:val="22"/>
                <w:szCs w:val="22"/>
                <w:highlight w:val="white"/>
              </w:rPr>
              <w:t xml:space="preserve">Организационно-технические мероприятия по допуску </w:t>
            </w:r>
            <w:r>
              <w:rPr>
                <w:sz w:val="22"/>
                <w:szCs w:val="22"/>
                <w:highlight w:val="white"/>
              </w:rPr>
              <w:t xml:space="preserve">персонала подрядчика</w:t>
            </w:r>
            <w:r>
              <w:rPr>
                <w:sz w:val="22"/>
                <w:szCs w:val="22"/>
                <w:highlight w:val="white"/>
              </w:rPr>
            </w:r>
            <w:r>
              <w:rPr>
                <w:sz w:val="22"/>
                <w:szCs w:val="22"/>
                <w:highlight w:val="white"/>
              </w:rPr>
            </w:r>
          </w:p>
          <w:p>
            <w:pPr>
              <w:jc w:val="center"/>
              <w:spacing w:before="60" w:line="276" w:lineRule="auto"/>
              <w:widowControl w:val="off"/>
              <w:tabs>
                <w:tab w:val="left" w:pos="426" w:leader="none"/>
              </w:tabs>
              <w:rPr>
                <w:i/>
                <w:sz w:val="24"/>
                <w:szCs w:val="24"/>
              </w:rPr>
            </w:pPr>
            <w:r>
              <w:rPr>
                <w:i/>
                <w:iCs/>
                <w:sz w:val="24"/>
                <w:szCs w:val="24"/>
              </w:rPr>
            </w:r>
            <w:r>
              <w:rPr>
                <w:i/>
                <w:sz w:val="24"/>
                <w:szCs w:val="24"/>
              </w:rPr>
            </w:r>
            <w:r>
              <w:rPr>
                <w:i/>
                <w:sz w:val="24"/>
                <w:szCs w:val="24"/>
              </w:rPr>
            </w:r>
          </w:p>
        </w:tc>
        <w:tc>
          <w:tcPr>
            <w:tcW w:w="6519" w:type="dxa"/>
            <w:vMerge w:val="restart"/>
            <w:textDirection w:val="lrTb"/>
            <w:noWrap w:val="false"/>
          </w:tcPr>
          <w:p>
            <w:pPr>
              <w:ind w:left="0" w:right="0" w:firstLine="567"/>
              <w:jc w:val="both"/>
              <w:spacing w:line="276" w:lineRule="auto"/>
              <w:rPr>
                <w:sz w:val="24"/>
                <w:szCs w:val="24"/>
                <w:highlight w:val="white"/>
              </w:rPr>
            </w:pPr>
            <w:r>
              <w:rPr>
                <w:rFonts w:eastAsia="Calibri"/>
                <w:bCs/>
                <w:sz w:val="24"/>
                <w:szCs w:val="24"/>
                <w:highlight w:val="white"/>
              </w:rPr>
              <w:t xml:space="preserve">Допуск персонала подрядчика для выполнения работ должен осуществляться в соответствии с:</w:t>
            </w:r>
            <w:r>
              <w:rPr>
                <w:sz w:val="24"/>
                <w:szCs w:val="24"/>
                <w:highlight w:val="white"/>
              </w:rPr>
            </w:r>
            <w:r>
              <w:rPr>
                <w:sz w:val="24"/>
                <w:szCs w:val="24"/>
                <w:highlight w:val="white"/>
              </w:rPr>
            </w:r>
          </w:p>
          <w:p>
            <w:pPr>
              <w:pStyle w:val="1024"/>
              <w:numPr>
                <w:ilvl w:val="0"/>
                <w:numId w:val="18"/>
              </w:numPr>
              <w:ind w:left="0" w:right="0" w:firstLine="567"/>
              <w:jc w:val="both"/>
              <w:spacing w:line="276" w:lineRule="auto"/>
              <w:tabs>
                <w:tab w:val="left" w:pos="406" w:leader="none"/>
                <w:tab w:val="left" w:pos="709" w:leader="none"/>
              </w:tabs>
              <w:rPr>
                <w:sz w:val="24"/>
                <w:szCs w:val="24"/>
                <w:highlight w:val="white"/>
              </w:rPr>
            </w:pPr>
            <w:r>
              <w:rPr>
                <w:bCs/>
                <w:sz w:val="24"/>
                <w:szCs w:val="24"/>
                <w:highlight w:val="white"/>
              </w:rPr>
            </w:r>
            <w:r>
              <w:rPr>
                <w:bCs/>
                <w:sz w:val="24"/>
                <w:szCs w:val="24"/>
                <w:highlight w:val="white"/>
              </w:rPr>
              <w:t xml:space="preserve">Положением о допуске персонала подрядных организаций к </w:t>
            </w:r>
            <w:r>
              <w:rPr>
                <w:bCs/>
                <w:sz w:val="24"/>
                <w:szCs w:val="24"/>
                <w:highlight w:val="white"/>
              </w:rPr>
              <w:t xml:space="preserve">выполнению работ на объектах АО «ДГК» №22</w:t>
            </w:r>
            <w:r>
              <w:rPr>
                <w:bCs/>
                <w:sz w:val="24"/>
                <w:szCs w:val="24"/>
                <w:highlight w:val="white"/>
              </w:rPr>
              <w:t xml:space="preserve">.1-504-2025 (утверждено приказом АО «ДГК» №П-ДГК/795 от 25.09.2025) </w:t>
            </w:r>
            <w:r>
              <w:rPr>
                <w:bCs/>
                <w:sz w:val="24"/>
                <w:szCs w:val="24"/>
                <w:highlight w:val="white"/>
              </w:rPr>
              <w:t xml:space="preserve">(Приложение №5</w:t>
            </w:r>
            <w:r>
              <w:rPr>
                <w:bCs/>
                <w:sz w:val="24"/>
                <w:szCs w:val="24"/>
                <w:highlight w:val="white"/>
              </w:rPr>
              <w:t xml:space="preserve"> к ТТ).</w:t>
            </w:r>
            <w:r>
              <w:rPr>
                <w:sz w:val="24"/>
                <w:szCs w:val="24"/>
                <w:highlight w:val="white"/>
              </w:rPr>
            </w:r>
            <w:r>
              <w:rPr>
                <w:sz w:val="24"/>
                <w:szCs w:val="24"/>
                <w:highlight w:val="white"/>
              </w:rPr>
            </w:r>
          </w:p>
          <w:p>
            <w:pPr>
              <w:pStyle w:val="1024"/>
              <w:numPr>
                <w:ilvl w:val="0"/>
                <w:numId w:val="18"/>
              </w:numPr>
              <w:ind w:left="0" w:right="0" w:firstLine="567"/>
              <w:jc w:val="both"/>
              <w:spacing w:line="276" w:lineRule="auto"/>
              <w:tabs>
                <w:tab w:val="left" w:pos="406" w:leader="none"/>
                <w:tab w:val="left" w:pos="709" w:leader="none"/>
              </w:tabs>
              <w:rPr>
                <w:sz w:val="24"/>
                <w:szCs w:val="24"/>
                <w:highlight w:val="white"/>
              </w:rPr>
            </w:pPr>
            <w:r>
              <w:rPr>
                <w:rFonts w:eastAsia="Geneva"/>
                <w:sz w:val="24"/>
                <w:szCs w:val="24"/>
                <w:highlight w:val="white"/>
                <w:lang w:bidi="ru-RU"/>
              </w:rPr>
              <w:t xml:space="preserve">Инструкцией о пропускном и внутриобъектовом режимах на объектах СП Приморские тепловые сети АО «ДГК»</w:t>
            </w:r>
            <w:r>
              <w:rPr>
                <w:bCs/>
                <w:sz w:val="24"/>
                <w:szCs w:val="24"/>
                <w:highlight w:val="white"/>
              </w:rPr>
              <w:t xml:space="preserve"> (Прилож</w:t>
            </w:r>
            <w:r>
              <w:rPr>
                <w:bCs/>
                <w:sz w:val="24"/>
                <w:szCs w:val="24"/>
                <w:highlight w:val="white"/>
              </w:rPr>
              <w:t xml:space="preserve">ение №5</w:t>
            </w:r>
            <w:r>
              <w:rPr>
                <w:bCs/>
                <w:sz w:val="24"/>
                <w:szCs w:val="24"/>
                <w:highlight w:val="white"/>
              </w:rPr>
              <w:t xml:space="preserve"> к ТТ); с обязательным оформ</w:t>
            </w:r>
            <w:r>
              <w:rPr>
                <w:bCs/>
                <w:sz w:val="24"/>
                <w:szCs w:val="24"/>
                <w:highlight w:val="white"/>
              </w:rPr>
              <w:t xml:space="preserve">лением необходимых нарядов-до</w:t>
            </w:r>
            <w:r>
              <w:rPr>
                <w:bCs/>
                <w:sz w:val="24"/>
                <w:szCs w:val="24"/>
                <w:highlight w:val="white"/>
              </w:rPr>
              <w:t xml:space="preserve">пусков</w:t>
            </w:r>
            <w:r>
              <w:rPr>
                <w:bCs/>
                <w:sz w:val="24"/>
                <w:szCs w:val="24"/>
                <w:highlight w:val="white"/>
              </w:rPr>
              <w:t xml:space="preserve">;</w:t>
            </w:r>
            <w:r>
              <w:rPr>
                <w:sz w:val="24"/>
                <w:szCs w:val="24"/>
                <w:highlight w:val="white"/>
              </w:rPr>
            </w:r>
            <w:r>
              <w:rPr>
                <w:sz w:val="24"/>
                <w:szCs w:val="24"/>
                <w:highlight w:val="white"/>
              </w:rPr>
            </w:r>
          </w:p>
          <w:p>
            <w:pPr>
              <w:ind w:left="0" w:right="0" w:firstLine="567"/>
              <w:jc w:val="both"/>
              <w:spacing w:line="276" w:lineRule="auto"/>
              <w:widowControl w:val="off"/>
              <w:tabs>
                <w:tab w:val="left" w:pos="426" w:leader="none"/>
              </w:tabs>
              <w:rPr>
                <w:rFonts w:eastAsia="Calibri"/>
                <w:sz w:val="24"/>
                <w:szCs w:val="24"/>
                <w:highlight w:val="white"/>
              </w:rPr>
            </w:pPr>
            <w:r>
              <w:rPr>
                <w:rFonts w:eastAsia="Calibri"/>
                <w:bCs/>
                <w:i/>
                <w:iCs/>
                <w:sz w:val="24"/>
                <w:szCs w:val="24"/>
                <w:highlight w:val="white"/>
              </w:rPr>
              <w:t xml:space="preserve">Более подробно требования к организации работ указаны в проекте договора подряда (в том числе в разделе №2), который включен в состав Документации о закупке</w:t>
            </w:r>
            <w:r>
              <w:rPr>
                <w:rFonts w:eastAsia="Calibri"/>
                <w:sz w:val="24"/>
                <w:szCs w:val="24"/>
                <w:highlight w:val="white"/>
              </w:rPr>
            </w:r>
            <w:r>
              <w:rPr>
                <w:rFonts w:eastAsia="Calibri"/>
                <w:sz w:val="24"/>
                <w:szCs w:val="24"/>
                <w:highlight w:val="white"/>
              </w:rPr>
            </w:r>
          </w:p>
        </w:tc>
        <w:tc>
          <w:tcPr>
            <w:tcW w:w="3402" w:type="dxa"/>
            <w:vAlign w:val="center"/>
            <w:vMerge w:val="continue"/>
            <w:textDirection w:val="lrTb"/>
            <w:noWrap w:val="false"/>
          </w:tcPr>
          <w:p>
            <w:r/>
            <w:r/>
          </w:p>
        </w:tc>
        <w:tc>
          <w:tcPr>
            <w:tcW w:w="2407" w:type="dxa"/>
            <w:vMerge w:val="continue"/>
            <w:textDirection w:val="lrTb"/>
            <w:noWrap w:val="false"/>
          </w:tcPr>
          <w:p>
            <w:r/>
            <w:r/>
          </w:p>
        </w:tc>
      </w:tr>
      <w:tr>
        <w:tblPrEx/>
        <w:trPr>
          <w:trHeight w:val="399"/>
        </w:trPr>
        <w:tc>
          <w:tcPr>
            <w:tcW w:w="680" w:type="dxa"/>
            <w:vAlign w:val="center"/>
            <w:textDirection w:val="lrTb"/>
            <w:noWrap w:val="false"/>
          </w:tcPr>
          <w:p>
            <w:pPr>
              <w:pStyle w:val="1024"/>
              <w:numPr>
                <w:ilvl w:val="1"/>
                <w:numId w:val="6"/>
              </w:numPr>
              <w:ind w:left="-117" w:firstLine="142"/>
              <w:jc w:val="center"/>
              <w:spacing w:before="60" w:after="60" w:line="276" w:lineRule="auto"/>
              <w:rPr>
                <w:sz w:val="20"/>
                <w:szCs w:val="20"/>
              </w:rPr>
            </w:pPr>
            <w:r>
              <w:rPr>
                <w:sz w:val="20"/>
                <w:szCs w:val="20"/>
              </w:rPr>
            </w:r>
            <w:r>
              <w:rPr>
                <w:sz w:val="20"/>
                <w:szCs w:val="20"/>
              </w:rPr>
            </w:r>
            <w:r>
              <w:rPr>
                <w:sz w:val="20"/>
                <w:szCs w:val="20"/>
              </w:rPr>
            </w:r>
          </w:p>
        </w:tc>
        <w:tc>
          <w:tcPr>
            <w:gridSpan w:val="2"/>
            <w:tcW w:w="8645" w:type="dxa"/>
            <w:vAlign w:val="center"/>
            <w:textDirection w:val="lrTb"/>
            <w:noWrap w:val="false"/>
          </w:tcPr>
          <w:p>
            <w:pPr>
              <w:jc w:val="both"/>
              <w:spacing w:before="60"/>
              <w:widowControl w:val="off"/>
              <w:tabs>
                <w:tab w:val="left" w:pos="426" w:leader="none"/>
              </w:tabs>
              <w:rPr>
                <w:sz w:val="22"/>
                <w:szCs w:val="22"/>
              </w:rPr>
            </w:pPr>
            <w:r>
              <w:rPr>
                <w:b/>
                <w:sz w:val="22"/>
                <w:szCs w:val="22"/>
              </w:rPr>
              <w:t xml:space="preserve">Требования к используемым материалам, </w:t>
            </w:r>
            <w:r>
              <w:rPr>
                <w:b/>
                <w:sz w:val="22"/>
                <w:szCs w:val="22"/>
              </w:rPr>
              <w:t xml:space="preserve">контролю качества работ и материалов</w:t>
            </w:r>
            <w:r>
              <w:rPr>
                <w:sz w:val="22"/>
                <w:szCs w:val="22"/>
              </w:rPr>
            </w:r>
            <w:r>
              <w:rPr>
                <w:sz w:val="22"/>
                <w:szCs w:val="22"/>
              </w:rPr>
            </w:r>
          </w:p>
        </w:tc>
        <w:tc>
          <w:tcPr>
            <w:tcW w:w="3402" w:type="dxa"/>
            <w:vMerge w:val="continue"/>
            <w:textDirection w:val="lrTb"/>
            <w:noWrap w:val="false"/>
          </w:tcPr>
          <w:p>
            <w:r/>
            <w:r/>
          </w:p>
        </w:tc>
        <w:tc>
          <w:tcPr>
            <w:tcW w:w="2407" w:type="dxa"/>
            <w:vMerge w:val="continue"/>
            <w:textDirection w:val="lrTb"/>
            <w:noWrap w:val="false"/>
          </w:tcPr>
          <w:p>
            <w:r/>
            <w:r/>
          </w:p>
        </w:tc>
      </w:tr>
      <w:tr>
        <w:tblPrEx/>
        <w:trPr/>
        <w:tc>
          <w:tcPr>
            <w:tcW w:w="680" w:type="dxa"/>
            <w:vAlign w:val="center"/>
            <w:textDirection w:val="lrTb"/>
            <w:noWrap w:val="false"/>
          </w:tcPr>
          <w:p>
            <w:pPr>
              <w:pStyle w:val="1024"/>
              <w:numPr>
                <w:ilvl w:val="2"/>
                <w:numId w:val="6"/>
              </w:numPr>
              <w:ind w:hanging="1199"/>
              <w:jc w:val="center"/>
              <w:spacing w:before="60" w:after="60" w:line="276" w:lineRule="auto"/>
              <w:rPr>
                <w:sz w:val="20"/>
                <w:szCs w:val="20"/>
              </w:rPr>
            </w:pPr>
            <w:r>
              <w:rPr>
                <w:sz w:val="20"/>
                <w:szCs w:val="20"/>
              </w:rPr>
            </w:r>
            <w:r>
              <w:rPr>
                <w:sz w:val="20"/>
                <w:szCs w:val="20"/>
              </w:rPr>
            </w:r>
            <w:r>
              <w:rPr>
                <w:sz w:val="20"/>
                <w:szCs w:val="20"/>
              </w:rPr>
            </w:r>
          </w:p>
        </w:tc>
        <w:tc>
          <w:tcPr>
            <w:tcW w:w="2126" w:type="dxa"/>
            <w:textDirection w:val="lrTb"/>
            <w:noWrap w:val="false"/>
          </w:tcPr>
          <w:p>
            <w:pPr>
              <w:spacing w:before="60" w:line="276" w:lineRule="auto"/>
              <w:widowControl w:val="off"/>
              <w:tabs>
                <w:tab w:val="left" w:pos="426" w:leader="none"/>
              </w:tabs>
              <w:rPr>
                <w:sz w:val="24"/>
                <w:szCs w:val="24"/>
              </w:rPr>
            </w:pPr>
            <w:r>
              <w:rPr>
                <w:sz w:val="24"/>
                <w:szCs w:val="24"/>
              </w:rPr>
            </w:r>
            <w:r>
              <w:rPr>
                <w:sz w:val="24"/>
                <w:szCs w:val="24"/>
              </w:rPr>
              <w:t xml:space="preserve">Требования к используемым материально – техническим ресурсам</w:t>
            </w:r>
            <w:r>
              <w:rPr>
                <w:sz w:val="24"/>
                <w:szCs w:val="24"/>
              </w:rPr>
            </w:r>
            <w:r>
              <w:rPr>
                <w:sz w:val="24"/>
                <w:szCs w:val="24"/>
              </w:rPr>
            </w:r>
          </w:p>
        </w:tc>
        <w:tc>
          <w:tcPr>
            <w:tcW w:w="6519" w:type="dxa"/>
            <w:vMerge w:val="restart"/>
            <w:textDirection w:val="lrTb"/>
            <w:noWrap w:val="false"/>
          </w:tcPr>
          <w:p>
            <w:pPr>
              <w:pStyle w:val="1024"/>
              <w:ind w:left="0" w:right="0" w:firstLine="567"/>
              <w:jc w:val="both"/>
              <w:spacing w:line="276" w:lineRule="auto"/>
              <w:pBdr>
                <w:top w:val="none" w:color="000000" w:sz="4" w:space="0"/>
                <w:left w:val="none" w:color="000000" w:sz="4" w:space="0"/>
                <w:bottom w:val="none" w:color="000000" w:sz="4" w:space="0"/>
                <w:right w:val="none" w:color="000000" w:sz="4" w:space="0"/>
              </w:pBdr>
            </w:pPr>
            <w:r>
              <w:rPr>
                <w:rFonts w:eastAsia="Times New Roman"/>
                <w:color w:val="000000" w:themeColor="text1"/>
                <w:sz w:val="24"/>
                <w:szCs w:val="24"/>
              </w:rPr>
              <w:t xml:space="preserve">Материалы, необходимые для выполнения работ приобретаются Подрядчиком. </w:t>
            </w:r>
            <w:r>
              <w:rPr>
                <w:rFonts w:eastAsia="Times New Roman"/>
                <w:color w:val="000000" w:themeColor="text1"/>
                <w:sz w:val="24"/>
                <w:szCs w:val="24"/>
              </w:rPr>
            </w:r>
            <w:r/>
          </w:p>
          <w:p>
            <w:pPr>
              <w:pStyle w:val="1024"/>
              <w:ind w:left="0" w:right="0" w:firstLine="567"/>
              <w:jc w:val="both"/>
              <w:spacing w:line="276" w:lineRule="auto"/>
              <w:rPr>
                <w:highlight w:val="white"/>
              </w:rPr>
              <w:pBdr>
                <w:top w:val="none" w:color="000000" w:sz="4" w:space="0"/>
                <w:left w:val="none" w:color="000000" w:sz="4" w:space="0"/>
                <w:bottom w:val="none" w:color="000000" w:sz="4" w:space="0"/>
                <w:right w:val="none" w:color="000000" w:sz="4" w:space="0"/>
              </w:pBdr>
            </w:pPr>
            <w:r>
              <w:rPr>
                <w:rFonts w:eastAsia="Times New Roman"/>
                <w:color w:val="000000" w:themeColor="text1"/>
                <w:sz w:val="24"/>
                <w:szCs w:val="24"/>
              </w:rPr>
              <w:t xml:space="preserve">Материалы, приобретаемые Подрядчиком, согласно Приложению №3 к ТТ, должны быть новыми и ранее не использованными, без по</w:t>
            </w:r>
            <w:r>
              <w:rPr>
                <w:rFonts w:eastAsia="Times New Roman"/>
                <w:color w:val="000000" w:themeColor="text1"/>
                <w:sz w:val="24"/>
                <w:szCs w:val="24"/>
                <w:highlight w:val="white"/>
              </w:rPr>
              <w:t xml:space="preserve">вре</w:t>
            </w:r>
            <w:r>
              <w:rPr>
                <w:rFonts w:eastAsia="Times New Roman"/>
                <w:color w:val="000000" w:themeColor="text1"/>
                <w:sz w:val="24"/>
                <w:szCs w:val="24"/>
                <w:highlight w:val="white"/>
              </w:rPr>
              <w:t xml:space="preserve">ждений. </w:t>
            </w:r>
            <w:r>
              <w:rPr>
                <w:highlight w:val="white"/>
              </w:rPr>
            </w:r>
            <w:r>
              <w:rPr>
                <w:highlight w:val="white"/>
              </w:rPr>
            </w:r>
          </w:p>
        </w:tc>
        <w:tc>
          <w:tcPr>
            <w:tcW w:w="3402" w:type="dxa"/>
            <w:vMerge w:val="continue"/>
            <w:textDirection w:val="lrTb"/>
            <w:noWrap w:val="false"/>
          </w:tcPr>
          <w:p>
            <w:r/>
            <w:r/>
          </w:p>
        </w:tc>
        <w:tc>
          <w:tcPr>
            <w:tcW w:w="2407" w:type="dxa"/>
            <w:vMerge w:val="continue"/>
            <w:textDirection w:val="lrTb"/>
            <w:noWrap w:val="false"/>
          </w:tcPr>
          <w:p>
            <w:r/>
            <w:r/>
          </w:p>
        </w:tc>
      </w:tr>
      <w:tr>
        <w:tblPrEx/>
        <w:trPr/>
        <w:tc>
          <w:tcPr>
            <w:tcW w:w="680" w:type="dxa"/>
            <w:vAlign w:val="center"/>
            <w:textDirection w:val="lrTb"/>
            <w:noWrap w:val="false"/>
          </w:tcPr>
          <w:p>
            <w:pPr>
              <w:pStyle w:val="1024"/>
              <w:numPr>
                <w:ilvl w:val="2"/>
                <w:numId w:val="6"/>
              </w:numPr>
              <w:ind w:hanging="1199"/>
              <w:jc w:val="center"/>
              <w:spacing w:before="60" w:after="60" w:line="276" w:lineRule="auto"/>
              <w:rPr>
                <w:sz w:val="20"/>
                <w:szCs w:val="20"/>
              </w:rPr>
            </w:pPr>
            <w:r>
              <w:rPr>
                <w:sz w:val="20"/>
                <w:szCs w:val="20"/>
              </w:rPr>
            </w:r>
            <w:r>
              <w:rPr>
                <w:sz w:val="20"/>
                <w:szCs w:val="20"/>
              </w:rPr>
            </w:r>
            <w:r>
              <w:rPr>
                <w:sz w:val="20"/>
                <w:szCs w:val="20"/>
              </w:rPr>
            </w:r>
          </w:p>
        </w:tc>
        <w:tc>
          <w:tcPr>
            <w:tcW w:w="2126" w:type="dxa"/>
            <w:textDirection w:val="lrTb"/>
            <w:noWrap w:val="false"/>
          </w:tcPr>
          <w:p>
            <w:pPr>
              <w:spacing w:before="60" w:line="276" w:lineRule="auto"/>
              <w:widowControl w:val="off"/>
              <w:tabs>
                <w:tab w:val="left" w:pos="426" w:leader="none"/>
              </w:tabs>
              <w:rPr>
                <w:sz w:val="24"/>
                <w:szCs w:val="24"/>
              </w:rPr>
            </w:pPr>
            <w:r>
              <w:rPr>
                <w:sz w:val="24"/>
                <w:szCs w:val="24"/>
              </w:rPr>
              <w:t xml:space="preserve">Контроль качества используемых материалов</w:t>
            </w:r>
            <w:r>
              <w:rPr>
                <w:sz w:val="24"/>
                <w:szCs w:val="24"/>
              </w:rPr>
            </w:r>
            <w:r>
              <w:rPr>
                <w:sz w:val="24"/>
                <w:szCs w:val="24"/>
              </w:rPr>
            </w:r>
          </w:p>
        </w:tc>
        <w:tc>
          <w:tcPr>
            <w:tcW w:w="6519" w:type="dxa"/>
            <w:vMerge w:val="restart"/>
            <w:textDirection w:val="lrTb"/>
            <w:noWrap w:val="false"/>
          </w:tcPr>
          <w:p>
            <w:pPr>
              <w:pStyle w:val="1024"/>
              <w:ind w:left="0" w:right="0" w:firstLine="567"/>
              <w:jc w:val="both"/>
              <w:spacing w:line="276" w:lineRule="auto"/>
              <w:rPr>
                <w:bCs w:val="0"/>
                <w:i w:val="0"/>
              </w:rPr>
            </w:pPr>
            <w:r>
              <w:rPr>
                <w:bCs/>
                <w:i w:val="0"/>
                <w:iCs w:val="0"/>
                <w:sz w:val="24"/>
                <w:szCs w:val="24"/>
              </w:rPr>
              <w:t xml:space="preserve">Руководители работ подрядных организаций, совместно с представителями Заказчика, осуществляют входной контроль качества применяемых материалов. </w:t>
            </w:r>
            <w:r>
              <w:rPr>
                <w:bCs w:val="0"/>
                <w:i w:val="0"/>
              </w:rPr>
            </w:r>
            <w:r>
              <w:rPr>
                <w:bCs w:val="0"/>
                <w:i w:val="0"/>
              </w:rPr>
            </w:r>
          </w:p>
          <w:p>
            <w:pPr>
              <w:pStyle w:val="1024"/>
              <w:ind w:left="0" w:right="0" w:firstLine="567"/>
              <w:jc w:val="both"/>
              <w:spacing w:line="276" w:lineRule="auto"/>
              <w:rPr>
                <w:bCs w:val="0"/>
                <w:i w:val="0"/>
              </w:rPr>
            </w:pPr>
            <w:r>
              <w:rPr>
                <w:bCs/>
                <w:i w:val="0"/>
                <w:iCs w:val="0"/>
                <w:sz w:val="24"/>
                <w:szCs w:val="24"/>
              </w:rPr>
              <w:t xml:space="preserve">Материалы Подрядчика должны иметь сертификаты, паспорта и другие документы, подтверждающие их качество. </w:t>
            </w:r>
            <w:r>
              <w:rPr>
                <w:bCs w:val="0"/>
                <w:i w:val="0"/>
              </w:rPr>
            </w:r>
            <w:r>
              <w:rPr>
                <w:bCs w:val="0"/>
                <w:i w:val="0"/>
              </w:rPr>
            </w:r>
          </w:p>
          <w:p>
            <w:pPr>
              <w:pStyle w:val="1024"/>
              <w:ind w:left="0" w:right="0" w:firstLine="567"/>
              <w:jc w:val="both"/>
              <w:spacing w:line="276" w:lineRule="auto"/>
              <w:rPr>
                <w:bCs w:val="0"/>
                <w:i w:val="0"/>
              </w:rPr>
            </w:pPr>
            <w:r>
              <w:rPr>
                <w:bCs/>
                <w:i w:val="0"/>
                <w:iCs w:val="0"/>
                <w:sz w:val="24"/>
                <w:szCs w:val="24"/>
              </w:rPr>
              <w:t xml:space="preserve">П</w:t>
            </w:r>
            <w:r>
              <w:rPr>
                <w:bCs/>
                <w:i w:val="0"/>
                <w:iCs w:val="0"/>
                <w:sz w:val="24"/>
                <w:szCs w:val="24"/>
              </w:rPr>
              <w:t xml:space="preserve">ри осуществлении Подрядчиком входного контроля качества материально-технических ресурсов, поступивших на место производства работ, обязательно наличие и ведение журнала входного учета и контроля качества получаемых материалов. Отсутствие записи о приемке м</w:t>
            </w:r>
            <w:r>
              <w:rPr>
                <w:bCs/>
                <w:i w:val="0"/>
                <w:iCs w:val="0"/>
                <w:sz w:val="24"/>
                <w:szCs w:val="24"/>
              </w:rPr>
              <w:t xml:space="preserve">атериалов и оборудовании в данном журнале дает основание Заказчику в отказе приемки выполненных работ с использованием соответствующих материалов. </w:t>
            </w:r>
            <w:r>
              <w:rPr>
                <w:bCs w:val="0"/>
                <w:i w:val="0"/>
              </w:rPr>
            </w:r>
            <w:r>
              <w:rPr>
                <w:bCs w:val="0"/>
                <w:i w:val="0"/>
              </w:rPr>
            </w:r>
          </w:p>
          <w:p>
            <w:pPr>
              <w:pStyle w:val="1024"/>
              <w:ind w:left="0" w:right="0" w:firstLine="567"/>
              <w:jc w:val="both"/>
              <w:spacing w:line="276" w:lineRule="auto"/>
              <w:rPr>
                <w:bCs/>
                <w:i/>
                <w:sz w:val="24"/>
                <w:szCs w:val="24"/>
              </w:rPr>
            </w:pPr>
            <w:r>
              <w:rPr>
                <w:bCs/>
                <w:i/>
                <w:sz w:val="24"/>
                <w:szCs w:val="24"/>
              </w:rPr>
              <w:t xml:space="preserve">Более Подробно требования указаны в проекте договора подряда (в том числе в разделе №2), который включен в состав Документации о закупке.</w:t>
            </w:r>
            <w:r>
              <w:rPr>
                <w:bCs/>
                <w:i/>
                <w:sz w:val="24"/>
                <w:szCs w:val="24"/>
              </w:rPr>
            </w:r>
            <w:r>
              <w:rPr>
                <w:bCs/>
                <w:i/>
                <w:sz w:val="24"/>
                <w:szCs w:val="24"/>
              </w:rPr>
            </w:r>
          </w:p>
        </w:tc>
        <w:tc>
          <w:tcPr>
            <w:tcW w:w="3402" w:type="dxa"/>
            <w:vMerge w:val="continue"/>
            <w:textDirection w:val="lrTb"/>
            <w:noWrap w:val="false"/>
          </w:tcPr>
          <w:p>
            <w:r/>
            <w:r/>
          </w:p>
        </w:tc>
        <w:tc>
          <w:tcPr>
            <w:tcW w:w="2407" w:type="dxa"/>
            <w:vMerge w:val="continue"/>
            <w:textDirection w:val="lrTb"/>
            <w:noWrap w:val="false"/>
          </w:tcPr>
          <w:p>
            <w:r/>
            <w:r/>
          </w:p>
        </w:tc>
      </w:tr>
      <w:tr>
        <w:tblPrEx/>
        <w:trPr>
          <w:trHeight w:val="396"/>
        </w:trPr>
        <w:tc>
          <w:tcPr>
            <w:tcW w:w="680" w:type="dxa"/>
            <w:vAlign w:val="center"/>
            <w:textDirection w:val="lrTb"/>
            <w:noWrap w:val="false"/>
          </w:tcPr>
          <w:p>
            <w:pPr>
              <w:pStyle w:val="1024"/>
              <w:numPr>
                <w:ilvl w:val="2"/>
                <w:numId w:val="6"/>
              </w:numPr>
              <w:ind w:hanging="1199"/>
              <w:jc w:val="center"/>
              <w:spacing w:before="60" w:after="60" w:line="276" w:lineRule="auto"/>
              <w:rPr>
                <w:sz w:val="20"/>
                <w:szCs w:val="20"/>
              </w:rPr>
            </w:pPr>
            <w:r>
              <w:rPr>
                <w:sz w:val="20"/>
                <w:szCs w:val="20"/>
              </w:rPr>
            </w:r>
            <w:r>
              <w:rPr>
                <w:sz w:val="20"/>
                <w:szCs w:val="20"/>
              </w:rPr>
            </w:r>
            <w:r>
              <w:rPr>
                <w:sz w:val="20"/>
                <w:szCs w:val="20"/>
              </w:rPr>
            </w:r>
          </w:p>
        </w:tc>
        <w:tc>
          <w:tcPr>
            <w:tcW w:w="2126" w:type="dxa"/>
            <w:textDirection w:val="lrTb"/>
            <w:noWrap w:val="false"/>
          </w:tcPr>
          <w:p>
            <w:pPr>
              <w:spacing w:before="60"/>
              <w:widowControl w:val="off"/>
              <w:tabs>
                <w:tab w:val="left" w:pos="426" w:leader="none"/>
              </w:tabs>
              <w:rPr>
                <w:sz w:val="22"/>
                <w:szCs w:val="22"/>
              </w:rPr>
            </w:pPr>
            <w:r>
              <w:rPr>
                <w:sz w:val="22"/>
                <w:szCs w:val="22"/>
              </w:rPr>
              <w:t xml:space="preserve">Контроль качества работ</w:t>
            </w:r>
            <w:r>
              <w:rPr>
                <w:sz w:val="22"/>
                <w:szCs w:val="22"/>
              </w:rPr>
            </w:r>
            <w:r>
              <w:rPr>
                <w:sz w:val="22"/>
                <w:szCs w:val="22"/>
              </w:rPr>
            </w:r>
          </w:p>
        </w:tc>
        <w:tc>
          <w:tcPr>
            <w:tcW w:w="6519" w:type="dxa"/>
            <w:vMerge w:val="restart"/>
            <w:textDirection w:val="lrTb"/>
            <w:noWrap w:val="false"/>
          </w:tcPr>
          <w:p>
            <w:pPr>
              <w:ind w:left="5" w:right="97" w:firstLine="562"/>
              <w:jc w:val="both"/>
              <w:spacing w:line="276" w:lineRule="auto"/>
              <w:widowControl w:val="off"/>
              <w:rPr>
                <w:sz w:val="24"/>
                <w:szCs w:val="24"/>
              </w:rPr>
            </w:pPr>
            <w:r>
              <w:rPr>
                <w:sz w:val="24"/>
                <w:szCs w:val="24"/>
              </w:rPr>
              <w:t xml:space="preserve">Работы должны быть выполнены в полном соответствии с требованиями государственных стандартов, действующих строительных норм и правил, ПУЭ, НПБ, технических регламентов, санитарных норм и правил.</w:t>
            </w:r>
            <w:r>
              <w:rPr>
                <w:sz w:val="24"/>
                <w:szCs w:val="24"/>
              </w:rPr>
            </w:r>
            <w:r>
              <w:rPr>
                <w:sz w:val="24"/>
                <w:szCs w:val="24"/>
              </w:rPr>
            </w:r>
          </w:p>
          <w:p>
            <w:pPr>
              <w:ind w:left="5" w:right="97" w:firstLine="562"/>
              <w:jc w:val="both"/>
              <w:spacing w:line="276" w:lineRule="auto"/>
              <w:widowControl w:val="off"/>
              <w:rPr>
                <w:bCs/>
                <w:i/>
                <w:sz w:val="24"/>
                <w:szCs w:val="24"/>
              </w:rPr>
            </w:pPr>
            <w:r>
              <w:rPr>
                <w:bCs/>
                <w:i/>
                <w:iCs/>
                <w:sz w:val="24"/>
                <w:szCs w:val="24"/>
              </w:rPr>
              <w:t xml:space="preserve">Подробно указаны в проекте договора подряда (в том числе в разделе № 2), который включен в состав Документации о закупке.</w:t>
            </w:r>
            <w:r>
              <w:rPr>
                <w:bCs/>
                <w:i/>
                <w:sz w:val="24"/>
                <w:szCs w:val="24"/>
              </w:rPr>
            </w:r>
            <w:r>
              <w:rPr>
                <w:bCs/>
                <w:i/>
                <w:sz w:val="24"/>
                <w:szCs w:val="24"/>
              </w:rPr>
            </w:r>
          </w:p>
        </w:tc>
        <w:tc>
          <w:tcPr>
            <w:tcW w:w="3402" w:type="dxa"/>
            <w:vMerge w:val="continue"/>
            <w:textDirection w:val="lrTb"/>
            <w:noWrap w:val="false"/>
          </w:tcPr>
          <w:p>
            <w:r/>
            <w:r/>
          </w:p>
        </w:tc>
        <w:tc>
          <w:tcPr>
            <w:tcW w:w="2407" w:type="dxa"/>
            <w:vMerge w:val="continue"/>
            <w:textDirection w:val="lrTb"/>
            <w:noWrap w:val="false"/>
          </w:tcPr>
          <w:p>
            <w:r/>
            <w:r/>
          </w:p>
        </w:tc>
      </w:tr>
      <w:tr>
        <w:tblPrEx/>
        <w:trPr>
          <w:trHeight w:val="440"/>
        </w:trPr>
        <w:tc>
          <w:tcPr>
            <w:tcW w:w="680" w:type="dxa"/>
            <w:vAlign w:val="center"/>
            <w:vMerge w:val="restart"/>
            <w:textDirection w:val="lrTb"/>
            <w:noWrap w:val="false"/>
          </w:tcPr>
          <w:p>
            <w:pPr>
              <w:pStyle w:val="1024"/>
              <w:numPr>
                <w:ilvl w:val="1"/>
                <w:numId w:val="6"/>
              </w:numPr>
              <w:ind w:left="-117" w:firstLine="142"/>
              <w:jc w:val="center"/>
              <w:spacing w:before="60" w:after="60" w:line="276" w:lineRule="auto"/>
              <w:rPr>
                <w:sz w:val="20"/>
                <w:szCs w:val="20"/>
              </w:rPr>
            </w:pPr>
            <w:r>
              <w:rPr>
                <w:sz w:val="20"/>
                <w:szCs w:val="20"/>
              </w:rPr>
            </w:r>
            <w:r>
              <w:rPr>
                <w:sz w:val="20"/>
                <w:szCs w:val="20"/>
              </w:rPr>
            </w:r>
            <w:r>
              <w:rPr>
                <w:sz w:val="20"/>
                <w:szCs w:val="20"/>
              </w:rPr>
            </w:r>
          </w:p>
        </w:tc>
        <w:tc>
          <w:tcPr>
            <w:gridSpan w:val="2"/>
            <w:tcW w:w="8645" w:type="dxa"/>
            <w:vAlign w:val="center"/>
            <w:vMerge w:val="restart"/>
            <w:textDirection w:val="lrTb"/>
            <w:noWrap w:val="false"/>
          </w:tcPr>
          <w:p>
            <w:pPr>
              <w:spacing w:line="276" w:lineRule="auto"/>
              <w:rPr>
                <w:sz w:val="24"/>
                <w:szCs w:val="24"/>
              </w:rPr>
            </w:pPr>
            <w:r>
              <w:rPr>
                <w:b/>
                <w:sz w:val="24"/>
                <w:szCs w:val="24"/>
              </w:rPr>
              <w:t xml:space="preserve">Требования к персоналу подрядчика</w:t>
            </w:r>
            <w:r>
              <w:rPr>
                <w:sz w:val="24"/>
                <w:szCs w:val="24"/>
              </w:rPr>
            </w:r>
            <w:r>
              <w:rPr>
                <w:sz w:val="24"/>
                <w:szCs w:val="24"/>
              </w:rPr>
            </w:r>
          </w:p>
        </w:tc>
        <w:tc>
          <w:tcPr>
            <w:tcW w:w="3402" w:type="dxa"/>
            <w:vMerge w:val="continue"/>
            <w:textDirection w:val="lrTb"/>
            <w:noWrap w:val="false"/>
          </w:tcPr>
          <w:p>
            <w:r/>
            <w:r/>
          </w:p>
        </w:tc>
        <w:tc>
          <w:tcPr>
            <w:tcW w:w="2407" w:type="dxa"/>
            <w:vMerge w:val="continue"/>
            <w:textDirection w:val="lrTb"/>
            <w:noWrap w:val="false"/>
          </w:tcPr>
          <w:p>
            <w:r/>
            <w:r/>
          </w:p>
        </w:tc>
      </w:tr>
      <w:tr>
        <w:tblPrEx/>
        <w:trPr>
          <w:trHeight w:val="1244"/>
        </w:trPr>
        <w:tc>
          <w:tcPr>
            <w:tcW w:w="680" w:type="dxa"/>
            <w:vAlign w:val="center"/>
            <w:textDirection w:val="lrTb"/>
            <w:noWrap w:val="false"/>
          </w:tcPr>
          <w:p>
            <w:pPr>
              <w:pStyle w:val="1024"/>
              <w:numPr>
                <w:ilvl w:val="2"/>
                <w:numId w:val="6"/>
              </w:numPr>
              <w:ind w:hanging="1199"/>
              <w:jc w:val="center"/>
              <w:spacing w:before="60" w:after="60" w:line="276" w:lineRule="auto"/>
              <w:rPr>
                <w:sz w:val="20"/>
                <w:szCs w:val="20"/>
              </w:rPr>
            </w:pPr>
            <w:r>
              <w:rPr>
                <w:sz w:val="20"/>
                <w:szCs w:val="20"/>
              </w:rPr>
            </w:r>
            <w:r>
              <w:rPr>
                <w:sz w:val="20"/>
                <w:szCs w:val="20"/>
              </w:rPr>
            </w:r>
            <w:r>
              <w:rPr>
                <w:sz w:val="20"/>
                <w:szCs w:val="20"/>
              </w:rPr>
            </w:r>
          </w:p>
        </w:tc>
        <w:tc>
          <w:tcPr>
            <w:tcW w:w="2126" w:type="dxa"/>
            <w:vAlign w:val="center"/>
            <w:textDirection w:val="lrTb"/>
            <w:noWrap w:val="false"/>
          </w:tcPr>
          <w:p>
            <w:pPr>
              <w:spacing w:line="276" w:lineRule="auto"/>
              <w:rPr>
                <w:sz w:val="24"/>
                <w:szCs w:val="24"/>
              </w:rPr>
            </w:pPr>
            <w:r>
              <w:rPr>
                <w:rFonts w:eastAsia="Calibri"/>
                <w:sz w:val="24"/>
                <w:szCs w:val="24"/>
                <w:highlight w:val="white"/>
              </w:rPr>
              <w:t xml:space="preserve">Квалификация персонала подрядчика, привлекаемого к выполнению рабо</w:t>
            </w:r>
            <w:r>
              <w:rPr>
                <w:rFonts w:eastAsia="Calibri"/>
                <w:sz w:val="24"/>
                <w:szCs w:val="24"/>
                <w:highlight w:val="none"/>
              </w:rPr>
              <w:t xml:space="preserve">т</w:t>
            </w:r>
            <w:r>
              <w:rPr>
                <w:sz w:val="24"/>
                <w:szCs w:val="24"/>
              </w:rPr>
            </w:r>
            <w:r>
              <w:rPr>
                <w:sz w:val="24"/>
                <w:szCs w:val="24"/>
              </w:rPr>
            </w:r>
          </w:p>
        </w:tc>
        <w:tc>
          <w:tcPr>
            <w:tcW w:w="6519" w:type="dxa"/>
            <w:vAlign w:val="center"/>
            <w:textDirection w:val="lrTb"/>
            <w:noWrap w:val="false"/>
          </w:tcPr>
          <w:p>
            <w:pPr>
              <w:ind w:left="0" w:right="97" w:firstLine="567"/>
              <w:jc w:val="both"/>
              <w:spacing w:line="276" w:lineRule="auto"/>
              <w:widowControl w:val="off"/>
            </w:pPr>
            <w:r>
              <w:rPr>
                <w:sz w:val="24"/>
                <w:szCs w:val="24"/>
                <w:highlight w:val="white"/>
              </w:rPr>
              <w:t xml:space="preserve">Подрядчик должен:</w:t>
            </w:r>
            <w:r>
              <w:rPr>
                <w:sz w:val="24"/>
                <w:szCs w:val="24"/>
                <w:highlight w:val="white"/>
              </w:rPr>
            </w:r>
            <w:r/>
          </w:p>
          <w:p>
            <w:pPr>
              <w:ind w:left="0" w:right="97" w:firstLine="567"/>
              <w:jc w:val="both"/>
              <w:spacing w:line="276" w:lineRule="auto"/>
              <w:widowControl w:val="off"/>
            </w:pPr>
            <w:r>
              <w:rPr>
                <w:sz w:val="24"/>
                <w:szCs w:val="24"/>
                <w:highlight w:val="white"/>
              </w:rPr>
              <w:t xml:space="preserve">– обладать гражданской правоспособностью в полном объёме для заключения и исполнения договора подряда (должен быть зарегистрирован в установленном порядке и иметь соответствующие разрешения на выполнение видов работ в рамках договора подряда);</w:t>
            </w:r>
            <w:r>
              <w:rPr>
                <w:sz w:val="24"/>
                <w:szCs w:val="24"/>
                <w:highlight w:val="white"/>
              </w:rPr>
            </w:r>
            <w:r/>
          </w:p>
          <w:p>
            <w:pPr>
              <w:ind w:left="0" w:right="97" w:firstLine="567"/>
              <w:jc w:val="both"/>
              <w:spacing w:line="276" w:lineRule="auto"/>
              <w:widowControl w:val="off"/>
              <w:rPr>
                <w:sz w:val="24"/>
                <w:szCs w:val="24"/>
                <w:highlight w:val="white"/>
              </w:rPr>
            </w:pPr>
            <w:r>
              <w:rPr>
                <w:sz w:val="24"/>
                <w:szCs w:val="24"/>
                <w:highlight w:val="white"/>
              </w:rPr>
              <w:t xml:space="preserve">–</w:t>
            </w:r>
            <w:r>
              <w:rPr>
                <w:sz w:val="24"/>
                <w:szCs w:val="24"/>
                <w:highlight w:val="white"/>
              </w:rPr>
              <w:t xml:space="preserve"> располагать квалифицированной командой ИТР, способной до начала работ на объекте ознакомить производственные бригады с общим объёмом работ, сроком выполнения работ и графиком, правилами внутреннего распорядка, задачами, стоящими перед каждой бригадой, и д</w:t>
            </w:r>
            <w:r>
              <w:rPr>
                <w:sz w:val="24"/>
                <w:szCs w:val="24"/>
                <w:highlight w:val="white"/>
              </w:rPr>
              <w:t xml:space="preserve">о</w:t>
            </w:r>
            <w:r>
              <w:rPr>
                <w:sz w:val="24"/>
                <w:szCs w:val="24"/>
                <w:highlight w:val="white"/>
              </w:rPr>
              <w:t xml:space="preserve">статочным количеством аттестованного персонала, организованного по принципу комплексных специализированных бригад (оформленных в соответствии с Гражданским Кодексом Российской Федерации или привлекаемых по трудовым либо гражданско-правовым договорам, либо </w:t>
            </w:r>
            <w:r>
              <w:rPr>
                <w:sz w:val="24"/>
                <w:szCs w:val="24"/>
                <w:highlight w:val="white"/>
              </w:rPr>
              <w:t xml:space="preserve">планируемых к привлечению, в том числе по договорам субподряда), </w:t>
            </w:r>
            <w:r>
              <w:rPr>
                <w:sz w:val="24"/>
                <w:szCs w:val="24"/>
                <w:highlight w:val="white"/>
              </w:rPr>
              <w:t xml:space="preserve">а также способной обеспечить ежедневный контроль выполнения работ бригадами в соответствии с технологиями монтажа и НТД.</w:t>
            </w:r>
            <w:r>
              <w:rPr>
                <w:sz w:val="24"/>
                <w:szCs w:val="24"/>
                <w:highlight w:val="white"/>
              </w:rPr>
            </w:r>
            <w:r>
              <w:rPr>
                <w:sz w:val="24"/>
                <w:szCs w:val="24"/>
                <w:highlight w:val="white"/>
              </w:rPr>
            </w:r>
          </w:p>
          <w:p>
            <w:pPr>
              <w:ind w:left="0" w:right="97" w:firstLine="567"/>
              <w:jc w:val="both"/>
              <w:spacing w:line="276" w:lineRule="auto"/>
              <w:widowControl w:val="off"/>
              <w:rPr>
                <w:sz w:val="24"/>
                <w:szCs w:val="24"/>
                <w:highlight w:val="white"/>
              </w:rPr>
            </w:pPr>
            <w:r>
              <w:rPr>
                <w:sz w:val="24"/>
                <w:szCs w:val="24"/>
                <w:highlight w:val="white"/>
              </w:rPr>
              <w:t xml:space="preserve">До начала проведения работ в рамках исполнения договора после его заключения подрядчик предоставляет:</w:t>
            </w:r>
            <w:r>
              <w:rPr>
                <w:sz w:val="24"/>
                <w:szCs w:val="24"/>
                <w:highlight w:val="white"/>
              </w:rPr>
            </w:r>
            <w:r>
              <w:rPr>
                <w:sz w:val="24"/>
                <w:szCs w:val="24"/>
                <w:highlight w:val="white"/>
              </w:rPr>
            </w:r>
          </w:p>
          <w:p>
            <w:pPr>
              <w:ind w:left="0" w:right="97" w:firstLine="567"/>
              <w:jc w:val="both"/>
              <w:spacing w:line="276" w:lineRule="auto"/>
              <w:widowControl w:val="off"/>
            </w:pPr>
            <w:r>
              <w:rPr>
                <w:sz w:val="24"/>
                <w:szCs w:val="24"/>
                <w:highlight w:val="white"/>
              </w:rPr>
              <w:t xml:space="preserve">-</w:t>
            </w:r>
            <w:r>
              <w:rPr>
                <w:sz w:val="24"/>
                <w:szCs w:val="24"/>
                <w:highlight w:val="white"/>
              </w:rPr>
              <w:t xml:space="preserve"> список персонала с указанием сведений  о квалификации персонала, разряде и группе по электробезопасности  с приложением копий  удостоверений на производство специальных видов работ (огневых, грузоподъемных, работ с электро - и пневмоинструментом) (возможн</w:t>
            </w:r>
            <w:r>
              <w:rPr>
                <w:sz w:val="24"/>
                <w:szCs w:val="24"/>
                <w:highlight w:val="white"/>
              </w:rPr>
              <w:t xml:space="preserve">о совмещение специальностей)</w:t>
            </w:r>
            <w:r>
              <w:rPr>
                <w:sz w:val="24"/>
                <w:szCs w:val="24"/>
                <w:highlight w:val="white"/>
              </w:rPr>
            </w:r>
            <w:r/>
          </w:p>
          <w:p>
            <w:pPr>
              <w:ind w:left="0" w:right="97" w:firstLine="567"/>
              <w:jc w:val="both"/>
              <w:spacing w:line="276" w:lineRule="auto"/>
              <w:widowControl w:val="off"/>
              <w:rPr>
                <w:sz w:val="24"/>
                <w:szCs w:val="24"/>
                <w:highlight w:val="white"/>
              </w:rPr>
            </w:pPr>
            <w:r>
              <w:rPr>
                <w:sz w:val="24"/>
                <w:szCs w:val="24"/>
                <w:highlight w:val="white"/>
              </w:rPr>
              <w:t xml:space="preserve">-</w:t>
            </w:r>
            <w:r>
              <w:rPr>
                <w:sz w:val="24"/>
                <w:szCs w:val="24"/>
                <w:highlight w:val="white"/>
              </w:rPr>
              <w:t xml:space="preserve"> свидетельства (заверенную копию) о готовности организации-заявителя к использованию аттестованной технологии сварки в соответствии приказом Ростехнадзора № 519 от 11.12.2020 (в редакции, введенной в действие приказом Ростехнадзора от 03 февраля 2023 года </w:t>
            </w:r>
            <w:r>
              <w:rPr>
                <w:sz w:val="24"/>
                <w:szCs w:val="24"/>
                <w:highlight w:val="white"/>
              </w:rPr>
              <w:t xml:space="preserve">№ 44.) об утверждении федеральных норм и правил в области промышленной безопасности “Требования к производству сварочных работ на опасных производственных объектах”.</w:t>
            </w:r>
            <w:r>
              <w:rPr>
                <w:sz w:val="24"/>
                <w:szCs w:val="24"/>
                <w:highlight w:val="white"/>
              </w:rPr>
            </w:r>
            <w:r>
              <w:rPr>
                <w:sz w:val="24"/>
                <w:szCs w:val="24"/>
                <w:highlight w:val="white"/>
              </w:rPr>
            </w:r>
          </w:p>
        </w:tc>
        <w:tc>
          <w:tcPr>
            <w:tcW w:w="3402" w:type="dxa"/>
            <w:vMerge w:val="continue"/>
            <w:textDirection w:val="lrTb"/>
            <w:noWrap w:val="false"/>
          </w:tcPr>
          <w:p>
            <w:r/>
            <w:r/>
          </w:p>
        </w:tc>
        <w:tc>
          <w:tcPr>
            <w:tcW w:w="2407" w:type="dxa"/>
            <w:vMerge w:val="continue"/>
            <w:textDirection w:val="lrTb"/>
            <w:noWrap w:val="false"/>
          </w:tcPr>
          <w:p>
            <w:r/>
            <w:r/>
          </w:p>
        </w:tc>
      </w:tr>
      <w:tr>
        <w:tblPrEx/>
        <w:trPr/>
        <w:tc>
          <w:tcPr>
            <w:tcW w:w="680" w:type="dxa"/>
            <w:vMerge w:val="restart"/>
            <w:textDirection w:val="lrTb"/>
            <w:noWrap w:val="false"/>
          </w:tcPr>
          <w:p>
            <w:pPr>
              <w:jc w:val="center"/>
              <w:spacing w:before="60" w:after="60" w:line="276" w:lineRule="auto"/>
              <w:rPr>
                <w:sz w:val="20"/>
                <w:szCs w:val="20"/>
              </w:rPr>
            </w:pPr>
            <w:r>
              <w:rPr>
                <w:sz w:val="20"/>
                <w:szCs w:val="20"/>
              </w:rPr>
              <w:t xml:space="preserve">1.5.</w:t>
            </w:r>
            <w:r>
              <w:rPr>
                <w:sz w:val="20"/>
                <w:szCs w:val="20"/>
              </w:rPr>
            </w:r>
            <w:r>
              <w:rPr>
                <w:sz w:val="20"/>
                <w:szCs w:val="20"/>
              </w:rPr>
            </w:r>
          </w:p>
        </w:tc>
        <w:tc>
          <w:tcPr>
            <w:gridSpan w:val="2"/>
            <w:tcW w:w="8645" w:type="dxa"/>
            <w:vMerge w:val="restart"/>
            <w:textDirection w:val="lrTb"/>
            <w:noWrap w:val="false"/>
          </w:tcPr>
          <w:p>
            <w:pPr>
              <w:ind w:left="0" w:right="0" w:firstLine="567"/>
              <w:jc w:val="both"/>
              <w:spacing w:line="276" w:lineRule="auto"/>
              <w:widowControl w:val="off"/>
              <w:tabs>
                <w:tab w:val="left" w:pos="567" w:leader="none"/>
              </w:tabs>
              <w:rPr>
                <w:sz w:val="24"/>
                <w:szCs w:val="24"/>
                <w:highlight w:val="white"/>
              </w:rPr>
            </w:pPr>
            <w:r>
              <w:rPr>
                <w:b/>
                <w:bCs/>
                <w:sz w:val="24"/>
                <w:szCs w:val="24"/>
              </w:rPr>
              <w:t xml:space="preserve">Т</w:t>
            </w:r>
            <w:r>
              <w:rPr>
                <w:b/>
                <w:bCs/>
                <w:sz w:val="24"/>
                <w:szCs w:val="24"/>
              </w:rPr>
              <w:t xml:space="preserve">ребования к безопасности работ и охране труда</w:t>
            </w:r>
            <w:r>
              <w:rPr>
                <w:sz w:val="24"/>
                <w:szCs w:val="24"/>
                <w:highlight w:val="white"/>
              </w:rPr>
            </w:r>
            <w:r>
              <w:rPr>
                <w:sz w:val="24"/>
                <w:szCs w:val="24"/>
                <w:highlight w:val="white"/>
              </w:rPr>
            </w:r>
          </w:p>
        </w:tc>
        <w:tc>
          <w:tcPr>
            <w:tcW w:w="3402" w:type="dxa"/>
            <w:vMerge w:val="continue"/>
            <w:textDirection w:val="lrTb"/>
            <w:noWrap w:val="false"/>
          </w:tcPr>
          <w:p>
            <w:r/>
            <w:r/>
          </w:p>
        </w:tc>
        <w:tc>
          <w:tcPr>
            <w:tcW w:w="2407" w:type="dxa"/>
            <w:vMerge w:val="continue"/>
            <w:textDirection w:val="lrTb"/>
            <w:noWrap w:val="false"/>
          </w:tcPr>
          <w:p>
            <w:r/>
            <w:r/>
          </w:p>
        </w:tc>
      </w:tr>
      <w:tr>
        <w:tblPrEx/>
        <w:trPr/>
        <w:tc>
          <w:tcPr>
            <w:tcW w:w="680" w:type="dxa"/>
            <w:vMerge w:val="restart"/>
            <w:textDirection w:val="lrTb"/>
            <w:noWrap w:val="false"/>
          </w:tcPr>
          <w:p>
            <w:pPr>
              <w:jc w:val="center"/>
              <w:spacing w:before="60" w:after="60" w:line="276" w:lineRule="auto"/>
              <w:rPr>
                <w:sz w:val="20"/>
                <w:szCs w:val="20"/>
              </w:rPr>
            </w:pPr>
            <w:r>
              <w:rPr>
                <w:sz w:val="20"/>
                <w:szCs w:val="20"/>
              </w:rPr>
              <w:t xml:space="preserve">1.5.1</w:t>
            </w:r>
            <w:r>
              <w:rPr>
                <w:sz w:val="20"/>
                <w:szCs w:val="20"/>
              </w:rPr>
            </w:r>
            <w:r>
              <w:rPr>
                <w:sz w:val="20"/>
                <w:szCs w:val="20"/>
              </w:rPr>
            </w:r>
          </w:p>
        </w:tc>
        <w:tc>
          <w:tcPr>
            <w:tcW w:w="2126" w:type="dxa"/>
            <w:vMerge w:val="restart"/>
            <w:textDirection w:val="lrTb"/>
            <w:noWrap w:val="false"/>
          </w:tcPr>
          <w:p>
            <w:pPr>
              <w:ind w:left="0" w:firstLine="0"/>
              <w:jc w:val="both"/>
              <w:spacing w:line="276" w:lineRule="auto"/>
              <w:tabs>
                <w:tab w:val="left" w:pos="283" w:leader="none"/>
              </w:tabs>
              <w:rPr>
                <w:sz w:val="24"/>
                <w:szCs w:val="24"/>
                <w:highlight w:val="white"/>
              </w:rPr>
            </w:pPr>
            <w:r>
              <w:rPr>
                <w:rFonts w:eastAsia="Calibri"/>
                <w:sz w:val="24"/>
                <w:szCs w:val="24"/>
                <w:highlight w:val="white"/>
              </w:rPr>
              <w:t xml:space="preserve">Требования к безопасности выполняемых работ</w:t>
            </w:r>
            <w:r>
              <w:rPr>
                <w:sz w:val="24"/>
                <w:szCs w:val="24"/>
                <w:highlight w:val="white"/>
              </w:rPr>
            </w:r>
            <w:r>
              <w:rPr>
                <w:sz w:val="24"/>
                <w:szCs w:val="24"/>
                <w:highlight w:val="white"/>
              </w:rPr>
            </w:r>
          </w:p>
          <w:p>
            <w:pPr>
              <w:spacing w:line="276" w:lineRule="auto"/>
              <w:rPr>
                <w:sz w:val="24"/>
                <w:szCs w:val="24"/>
                <w:highlight w:val="white"/>
              </w:rPr>
              <w:outlineLvl w:val="2"/>
            </w:pPr>
            <w:r>
              <w:rPr>
                <w:rFonts w:eastAsia="Calibri"/>
                <w:sz w:val="24"/>
                <w:szCs w:val="24"/>
                <w:highlight w:val="white"/>
              </w:rPr>
            </w:r>
            <w:r>
              <w:rPr>
                <w:sz w:val="24"/>
                <w:szCs w:val="24"/>
                <w:highlight w:val="white"/>
              </w:rPr>
            </w:r>
            <w:r>
              <w:rPr>
                <w:sz w:val="24"/>
                <w:szCs w:val="24"/>
                <w:highlight w:val="white"/>
              </w:rPr>
            </w:r>
          </w:p>
        </w:tc>
        <w:tc>
          <w:tcPr>
            <w:tcW w:w="6519" w:type="dxa"/>
            <w:vMerge w:val="restart"/>
            <w:textDirection w:val="lrTb"/>
            <w:noWrap w:val="false"/>
          </w:tcPr>
          <w:p>
            <w:pPr>
              <w:ind w:left="0" w:right="0" w:firstLine="567"/>
              <w:jc w:val="both"/>
              <w:spacing w:line="276" w:lineRule="auto"/>
              <w:widowControl w:val="off"/>
              <w:tabs>
                <w:tab w:val="left" w:pos="567" w:leader="none"/>
              </w:tabs>
              <w:rPr>
                <w:sz w:val="24"/>
                <w:szCs w:val="24"/>
                <w:highlight w:val="white"/>
              </w:rPr>
            </w:pPr>
            <w:r>
              <w:rPr>
                <w:sz w:val="24"/>
                <w:szCs w:val="24"/>
                <w:highlight w:val="white"/>
              </w:rPr>
              <w:t xml:space="preserve">Меры безопасности при выполнении работ обеспечиваются как организационно-техническими, так и техническими средствами защиты указанных в следующих нормативных документах:</w:t>
            </w:r>
            <w:r>
              <w:rPr>
                <w:sz w:val="24"/>
                <w:szCs w:val="24"/>
                <w:highlight w:val="white"/>
              </w:rPr>
            </w:r>
            <w:r>
              <w:rPr>
                <w:sz w:val="24"/>
                <w:szCs w:val="24"/>
                <w:highlight w:val="white"/>
              </w:rPr>
            </w:r>
          </w:p>
          <w:p>
            <w:pPr>
              <w:pStyle w:val="1024"/>
              <w:ind w:left="0" w:right="0" w:firstLine="567"/>
              <w:jc w:val="both"/>
              <w:spacing w:line="276" w:lineRule="auto"/>
              <w:rPr>
                <w:sz w:val="24"/>
                <w:szCs w:val="24"/>
                <w:highlight w:val="white"/>
              </w:rPr>
            </w:pPr>
            <w:r>
              <w:rPr>
                <w:sz w:val="24"/>
                <w:szCs w:val="24"/>
                <w:highlight w:val="white"/>
              </w:rPr>
              <w:t xml:space="preserve">- СО34.03.201-97 (РД 34.03.201-97) Правила техники безопасности при эксплуатации тепломеханического оборудования электростанций и тепловых сетей;</w:t>
            </w:r>
            <w:r>
              <w:rPr>
                <w:sz w:val="24"/>
                <w:szCs w:val="24"/>
                <w:highlight w:val="white"/>
              </w:rPr>
            </w:r>
            <w:r>
              <w:rPr>
                <w:sz w:val="24"/>
                <w:szCs w:val="24"/>
                <w:highlight w:val="white"/>
              </w:rPr>
            </w:r>
          </w:p>
          <w:p>
            <w:pPr>
              <w:pStyle w:val="1024"/>
              <w:ind w:left="0" w:right="0" w:firstLine="567"/>
              <w:jc w:val="both"/>
              <w:spacing w:line="276" w:lineRule="auto"/>
              <w:rPr>
                <w:highlight w:val="white"/>
              </w:rPr>
            </w:pPr>
            <w:r>
              <w:rPr>
                <w:sz w:val="24"/>
                <w:szCs w:val="24"/>
                <w:highlight w:val="white"/>
              </w:rPr>
              <w:t xml:space="preserve">–</w:t>
              <w:tab/>
              <w:t xml:space="preserve">СНиП 12-03-2001 «Безопасность труда в строительстве» Часть 1. Общие требования. Приняты и введены в действие Постановлением Госстроя РФ от 23.07.2001 г. №80;</w:t>
            </w:r>
            <w:r>
              <w:rPr>
                <w:highlight w:val="white"/>
              </w:rPr>
            </w:r>
            <w:r>
              <w:rPr>
                <w:highlight w:val="white"/>
              </w:rPr>
            </w:r>
          </w:p>
          <w:p>
            <w:pPr>
              <w:pStyle w:val="1024"/>
              <w:ind w:left="0" w:right="0" w:firstLine="567"/>
              <w:jc w:val="both"/>
              <w:spacing w:line="276" w:lineRule="auto"/>
              <w:rPr>
                <w:sz w:val="24"/>
                <w:szCs w:val="24"/>
                <w:highlight w:val="white"/>
              </w:rPr>
            </w:pPr>
            <w:r>
              <w:rPr>
                <w:sz w:val="24"/>
                <w:szCs w:val="24"/>
                <w:highlight w:val="white"/>
              </w:rPr>
              <w:t xml:space="preserve">–</w:t>
              <w:tab/>
              <w:t xml:space="preserve">СНиП 12-04-2002 «Безопасность труда в строительстве» Часть 2. Строительное производство». Приняты и введены в действие Постановлением Госстроя РФ от 17.09.2002 г. №123;</w:t>
            </w:r>
            <w:r>
              <w:rPr>
                <w:sz w:val="24"/>
                <w:szCs w:val="24"/>
                <w:highlight w:val="white"/>
              </w:rPr>
            </w:r>
            <w:r>
              <w:rPr>
                <w:sz w:val="24"/>
                <w:szCs w:val="24"/>
                <w:highlight w:val="white"/>
              </w:rPr>
            </w:r>
          </w:p>
          <w:p>
            <w:pPr>
              <w:pStyle w:val="1024"/>
              <w:ind w:left="0" w:right="0" w:firstLine="567"/>
              <w:jc w:val="both"/>
              <w:spacing w:line="276" w:lineRule="auto"/>
              <w:rPr>
                <w:sz w:val="24"/>
                <w:szCs w:val="24"/>
                <w:highlight w:val="white"/>
              </w:rPr>
            </w:pPr>
            <w:r>
              <w:rPr>
                <w:sz w:val="24"/>
                <w:szCs w:val="24"/>
                <w:highlight w:val="white"/>
              </w:rPr>
              <w:t xml:space="preserve">- Правила техники безопасности при эксплуатации тепломеханического об</w:t>
            </w:r>
            <w:r>
              <w:rPr>
                <w:sz w:val="24"/>
                <w:szCs w:val="24"/>
                <w:highlight w:val="white"/>
              </w:rPr>
              <w:t xml:space="preserve">орудования электростанций и тепловых сетей. РД 34.03.201-97 (утв. Минтопэнерго России 03.04.1997 г.) (по состоянию на 03.04.2000 г.) (ред. от 22.02.2000 г.).</w:t>
            </w:r>
            <w:r>
              <w:rPr>
                <w:sz w:val="24"/>
                <w:szCs w:val="24"/>
                <w:highlight w:val="white"/>
              </w:rPr>
            </w:r>
            <w:r>
              <w:rPr>
                <w:sz w:val="24"/>
                <w:szCs w:val="24"/>
                <w:highlight w:val="white"/>
              </w:rPr>
            </w:r>
          </w:p>
          <w:p>
            <w:pPr>
              <w:ind w:left="0" w:right="0" w:firstLine="567"/>
              <w:jc w:val="both"/>
              <w:spacing w:line="276" w:lineRule="auto"/>
              <w:widowControl w:val="off"/>
              <w:tabs>
                <w:tab w:val="left" w:pos="426" w:leader="none"/>
              </w:tabs>
              <w:rPr>
                <w:bCs/>
                <w:i/>
                <w:sz w:val="24"/>
                <w:szCs w:val="24"/>
                <w:highlight w:val="none"/>
              </w:rPr>
            </w:pPr>
            <w:r>
              <w:rPr>
                <w:i/>
                <w:iCs/>
                <w:sz w:val="24"/>
                <w:szCs w:val="24"/>
                <w:highlight w:val="white"/>
              </w:rPr>
              <w:t xml:space="preserve">Более подробно требования указаны в проекте договора подряда (в том числе в разделе №2), который включен в состав Документации о закупке.</w:t>
            </w:r>
            <w:r>
              <w:rPr>
                <w:bCs/>
                <w:i/>
                <w:sz w:val="24"/>
                <w:szCs w:val="24"/>
                <w:highlight w:val="none"/>
              </w:rPr>
            </w:r>
            <w:r>
              <w:rPr>
                <w:bCs/>
                <w:i/>
                <w:sz w:val="24"/>
                <w:szCs w:val="24"/>
                <w:highlight w:val="none"/>
              </w:rPr>
            </w:r>
          </w:p>
          <w:p>
            <w:pPr>
              <w:pStyle w:val="1024"/>
              <w:ind w:left="0" w:right="0" w:firstLine="567"/>
              <w:jc w:val="both"/>
              <w:spacing w:line="276" w:lineRule="auto"/>
              <w:tabs>
                <w:tab w:val="left" w:pos="256" w:leader="none"/>
              </w:tabs>
              <w:rPr>
                <w:rFonts w:eastAsia="Times New Roman"/>
                <w:bCs/>
                <w:sz w:val="24"/>
                <w:szCs w:val="24"/>
              </w:rPr>
            </w:pPr>
            <w:r>
              <w:rPr>
                <w:i/>
                <w:iCs/>
                <w:sz w:val="24"/>
                <w:szCs w:val="24"/>
              </w:rPr>
              <w:t xml:space="preserve">В случае, если какой-либо из указанных нормативных док</w:t>
            </w:r>
            <w:r>
              <w:rPr>
                <w:i/>
                <w:iCs/>
                <w:sz w:val="24"/>
                <w:szCs w:val="24"/>
              </w:rPr>
              <w:t xml:space="preserve">ументов был отменен в связи с выпуском новой редакции стандарта в процессе проведения закупки и/или исполнения Договора, то необходимо применять нормативный документ, принятый в его развитие.</w:t>
            </w:r>
            <w:r>
              <w:rPr>
                <w:rFonts w:eastAsia="Times New Roman"/>
                <w:bCs/>
                <w:sz w:val="24"/>
                <w:szCs w:val="24"/>
              </w:rPr>
            </w:r>
            <w:r>
              <w:rPr>
                <w:rFonts w:eastAsia="Times New Roman"/>
                <w:bCs/>
                <w:sz w:val="24"/>
                <w:szCs w:val="24"/>
              </w:rPr>
            </w:r>
          </w:p>
        </w:tc>
        <w:tc>
          <w:tcPr>
            <w:tcW w:w="3402" w:type="dxa"/>
            <w:vMerge w:val="continue"/>
            <w:textDirection w:val="lrTb"/>
            <w:noWrap w:val="false"/>
          </w:tcPr>
          <w:p>
            <w:r/>
            <w:r/>
          </w:p>
        </w:tc>
        <w:tc>
          <w:tcPr>
            <w:tcW w:w="2407" w:type="dxa"/>
            <w:vMerge w:val="continue"/>
            <w:textDirection w:val="lrTb"/>
            <w:noWrap w:val="false"/>
          </w:tcPr>
          <w:p>
            <w:r/>
            <w:r/>
          </w:p>
        </w:tc>
      </w:tr>
      <w:tr>
        <w:tblPrEx/>
        <w:trPr>
          <w:trHeight w:val="990"/>
        </w:trPr>
        <w:tc>
          <w:tcPr>
            <w:tcW w:w="680" w:type="dxa"/>
            <w:vMerge w:val="restart"/>
            <w:textDirection w:val="lrTb"/>
            <w:noWrap w:val="false"/>
          </w:tcPr>
          <w:p>
            <w:pPr>
              <w:jc w:val="center"/>
              <w:spacing w:before="60" w:after="60" w:line="276" w:lineRule="auto"/>
              <w:rPr>
                <w:sz w:val="20"/>
                <w:szCs w:val="20"/>
              </w:rPr>
            </w:pPr>
            <w:r>
              <w:rPr>
                <w:sz w:val="20"/>
                <w:szCs w:val="20"/>
              </w:rPr>
              <w:t xml:space="preserve">1.5.2</w:t>
            </w:r>
            <w:r>
              <w:rPr>
                <w:sz w:val="20"/>
                <w:szCs w:val="20"/>
              </w:rPr>
            </w:r>
            <w:r>
              <w:rPr>
                <w:sz w:val="20"/>
                <w:szCs w:val="20"/>
              </w:rPr>
            </w:r>
          </w:p>
        </w:tc>
        <w:tc>
          <w:tcPr>
            <w:tcW w:w="2126" w:type="dxa"/>
            <w:vMerge w:val="restart"/>
            <w:textDirection w:val="lrTb"/>
            <w:noWrap w:val="false"/>
          </w:tcPr>
          <w:p>
            <w:pPr>
              <w:spacing w:line="276" w:lineRule="auto"/>
              <w:rPr>
                <w:rFonts w:eastAsia="Calibri"/>
                <w:sz w:val="24"/>
                <w:szCs w:val="24"/>
                <w:highlight w:val="white"/>
              </w:rPr>
              <w:outlineLvl w:val="2"/>
            </w:pPr>
            <w:r>
              <w:rPr>
                <w:sz w:val="24"/>
                <w:szCs w:val="24"/>
              </w:rPr>
            </w:r>
            <w:r>
              <w:rPr>
                <w:rFonts w:eastAsia="Calibri"/>
                <w:sz w:val="24"/>
                <w:szCs w:val="24"/>
                <w:highlight w:val="white"/>
              </w:rPr>
              <w:t xml:space="preserve">Соблюдение требований пожарной безопасности</w:t>
            </w:r>
            <w:r>
              <w:rPr>
                <w:rFonts w:eastAsia="Calibri"/>
                <w:sz w:val="24"/>
                <w:szCs w:val="24"/>
                <w:highlight w:val="white"/>
              </w:rPr>
            </w:r>
            <w:r>
              <w:rPr>
                <w:rFonts w:eastAsia="Calibri"/>
                <w:sz w:val="24"/>
                <w:szCs w:val="24"/>
                <w:highlight w:val="white"/>
              </w:rPr>
            </w:r>
          </w:p>
        </w:tc>
        <w:tc>
          <w:tcPr>
            <w:tcW w:w="6519" w:type="dxa"/>
            <w:vMerge w:val="restart"/>
            <w:textDirection w:val="lrTb"/>
            <w:noWrap w:val="false"/>
          </w:tcPr>
          <w:p>
            <w:pPr>
              <w:ind w:left="0" w:right="0" w:firstLine="567"/>
              <w:jc w:val="both"/>
              <w:spacing w:line="276" w:lineRule="auto"/>
              <w:widowControl w:val="off"/>
              <w:tabs>
                <w:tab w:val="left" w:pos="567" w:leader="none"/>
              </w:tabs>
              <w:rPr>
                <w:sz w:val="24"/>
                <w:szCs w:val="24"/>
              </w:rPr>
            </w:pPr>
            <w:r>
              <w:rPr>
                <w:sz w:val="24"/>
                <w:szCs w:val="24"/>
                <w:highlight w:val="white"/>
              </w:rPr>
              <w:t xml:space="preserve">Меры пожарной безопасности при выполнении работ обеспечиваются как организационно-техническими, так и техническими средствами защиты указанных в следующих нормативных документах:</w:t>
            </w:r>
            <w:r>
              <w:rPr>
                <w:sz w:val="24"/>
                <w:szCs w:val="24"/>
              </w:rPr>
            </w:r>
            <w:r>
              <w:rPr>
                <w:sz w:val="24"/>
                <w:szCs w:val="24"/>
              </w:rPr>
            </w:r>
          </w:p>
          <w:p>
            <w:pPr>
              <w:pStyle w:val="1024"/>
              <w:numPr>
                <w:ilvl w:val="0"/>
                <w:numId w:val="26"/>
              </w:numPr>
              <w:ind w:left="0" w:right="0" w:firstLine="567"/>
              <w:jc w:val="both"/>
              <w:spacing w:line="276" w:lineRule="auto"/>
              <w:shd w:val="clear" w:color="auto" w:fill="ffffff"/>
              <w:tabs>
                <w:tab w:val="left" w:pos="283" w:leader="none"/>
              </w:tabs>
              <w:rPr>
                <w:sz w:val="24"/>
                <w:szCs w:val="24"/>
              </w:rPr>
            </w:pPr>
            <w:r>
              <w:rPr>
                <w:sz w:val="24"/>
                <w:szCs w:val="24"/>
              </w:rPr>
              <w:t xml:space="preserve">Правила противопожарного режима в</w:t>
            </w:r>
            <w:r>
              <w:rPr>
                <w:sz w:val="24"/>
                <w:szCs w:val="24"/>
              </w:rPr>
              <w:t xml:space="preserve"> Российской Федерации, утверждены Постановлением Правительства РФ от 16.09.2020 № 1479;</w:t>
            </w:r>
            <w:r>
              <w:rPr>
                <w:sz w:val="24"/>
                <w:szCs w:val="24"/>
              </w:rPr>
            </w:r>
            <w:r>
              <w:rPr>
                <w:sz w:val="24"/>
                <w:szCs w:val="24"/>
              </w:rPr>
            </w:r>
          </w:p>
          <w:p>
            <w:pPr>
              <w:pStyle w:val="1024"/>
              <w:numPr>
                <w:ilvl w:val="0"/>
                <w:numId w:val="26"/>
              </w:numPr>
              <w:ind w:left="0" w:right="0" w:firstLine="567"/>
              <w:jc w:val="both"/>
              <w:spacing w:line="276" w:lineRule="auto"/>
              <w:shd w:val="clear" w:color="auto" w:fill="ffffff"/>
              <w:tabs>
                <w:tab w:val="left" w:pos="283" w:leader="none"/>
              </w:tabs>
              <w:rPr>
                <w:sz w:val="24"/>
                <w:szCs w:val="24"/>
              </w:rPr>
            </w:pPr>
            <w:r>
              <w:rPr>
                <w:sz w:val="24"/>
                <w:szCs w:val="24"/>
              </w:rPr>
              <w:t xml:space="preserve">Технический регламент о требованиях пожарной безопасности. №123-ФЗ от 22.07.2008;</w:t>
            </w:r>
            <w:r>
              <w:rPr>
                <w:sz w:val="24"/>
                <w:szCs w:val="24"/>
              </w:rPr>
            </w:r>
            <w:r>
              <w:rPr>
                <w:sz w:val="24"/>
                <w:szCs w:val="24"/>
              </w:rPr>
            </w:r>
          </w:p>
          <w:p>
            <w:pPr>
              <w:pStyle w:val="1024"/>
              <w:numPr>
                <w:ilvl w:val="0"/>
                <w:numId w:val="26"/>
              </w:numPr>
              <w:ind w:left="0" w:right="0" w:firstLine="567"/>
              <w:jc w:val="both"/>
              <w:spacing w:line="276" w:lineRule="auto"/>
              <w:tabs>
                <w:tab w:val="left" w:pos="283" w:leader="none"/>
              </w:tabs>
              <w:rPr>
                <w:sz w:val="24"/>
                <w:szCs w:val="24"/>
              </w:rPr>
            </w:pPr>
            <w:r>
              <w:rPr>
                <w:sz w:val="24"/>
                <w:szCs w:val="24"/>
              </w:rPr>
              <w:t xml:space="preserve">ГОСТ 12.1.004-91* Система стандартов безопасности труда. Пожарная безопасность. Общие требования.</w:t>
            </w:r>
            <w:r>
              <w:rPr>
                <w:sz w:val="24"/>
                <w:szCs w:val="24"/>
              </w:rPr>
            </w:r>
            <w:r>
              <w:rPr>
                <w:sz w:val="24"/>
                <w:szCs w:val="24"/>
              </w:rPr>
            </w:r>
          </w:p>
          <w:p>
            <w:pPr>
              <w:ind w:left="0" w:right="0" w:firstLine="567"/>
              <w:jc w:val="both"/>
              <w:spacing w:line="276" w:lineRule="auto"/>
              <w:rPr>
                <w:sz w:val="24"/>
                <w:szCs w:val="24"/>
              </w:rPr>
            </w:pPr>
            <w:r>
              <w:rPr>
                <w:sz w:val="24"/>
                <w:szCs w:val="24"/>
                <w:highlight w:val="white"/>
              </w:rPr>
              <w:t xml:space="preserve">При выполнении работ дополнительно необходимо соблюдать требования объектовых (производственных) инструкций, пожарные и санитарные нормы, правила охраны труда</w:t>
            </w:r>
            <w:r>
              <w:rPr>
                <w:sz w:val="24"/>
                <w:szCs w:val="24"/>
                <w:highlight w:val="white"/>
              </w:rPr>
              <w:t xml:space="preserve">, действующие на предприятии Заказчика.</w:t>
            </w:r>
            <w:r>
              <w:rPr>
                <w:sz w:val="24"/>
                <w:szCs w:val="24"/>
              </w:rPr>
            </w:r>
            <w:r>
              <w:rPr>
                <w:sz w:val="24"/>
                <w:szCs w:val="24"/>
              </w:rPr>
            </w:r>
          </w:p>
          <w:p>
            <w:pPr>
              <w:contextualSpacing/>
              <w:ind w:left="0" w:right="0" w:firstLine="567"/>
              <w:jc w:val="both"/>
              <w:spacing w:line="276" w:lineRule="auto"/>
              <w:rPr>
                <w:sz w:val="24"/>
                <w:szCs w:val="24"/>
              </w:rPr>
            </w:pPr>
            <w:r>
              <w:rPr>
                <w:sz w:val="24"/>
                <w:szCs w:val="24"/>
                <w:highlight w:val="white"/>
              </w:rPr>
              <w:t xml:space="preserve">Приказом по организации должно быть назначено лицо, ответственное за соблюдение требований пожарной безопасности на строительной площадке и в местах производства работ.</w:t>
            </w:r>
            <w:r>
              <w:rPr>
                <w:sz w:val="24"/>
                <w:szCs w:val="24"/>
              </w:rPr>
            </w:r>
            <w:r>
              <w:rPr>
                <w:sz w:val="24"/>
                <w:szCs w:val="24"/>
              </w:rPr>
            </w:r>
          </w:p>
          <w:p>
            <w:pPr>
              <w:contextualSpacing/>
              <w:ind w:left="0" w:right="0" w:firstLine="567"/>
              <w:jc w:val="both"/>
              <w:spacing w:line="276" w:lineRule="auto"/>
              <w:rPr>
                <w:sz w:val="24"/>
                <w:szCs w:val="24"/>
              </w:rPr>
            </w:pPr>
            <w:r>
              <w:rPr>
                <w:sz w:val="24"/>
                <w:szCs w:val="24"/>
                <w:highlight w:val="white"/>
              </w:rPr>
              <w:t xml:space="preserve">Персональную ответственность за обеспечение пож</w:t>
            </w:r>
            <w:r>
              <w:rPr>
                <w:sz w:val="24"/>
                <w:szCs w:val="24"/>
                <w:highlight w:val="white"/>
              </w:rPr>
              <w:t xml:space="preserve">арной безопасности несёт руководитель подрядной организации или лицо, его замещающее.</w:t>
            </w:r>
            <w:r>
              <w:rPr>
                <w:sz w:val="24"/>
                <w:szCs w:val="24"/>
              </w:rPr>
            </w:r>
            <w:r>
              <w:rPr>
                <w:sz w:val="24"/>
                <w:szCs w:val="24"/>
              </w:rPr>
            </w:r>
          </w:p>
          <w:p>
            <w:pPr>
              <w:contextualSpacing/>
              <w:ind w:left="0" w:right="0" w:firstLine="567"/>
              <w:jc w:val="both"/>
              <w:spacing w:line="276" w:lineRule="auto"/>
              <w:rPr>
                <w:sz w:val="24"/>
                <w:szCs w:val="24"/>
              </w:rPr>
            </w:pPr>
            <w:r>
              <w:rPr>
                <w:sz w:val="24"/>
                <w:szCs w:val="24"/>
                <w:highlight w:val="white"/>
              </w:rPr>
              <w:t xml:space="preserve">Ремонтная площадка должна быть оснащена средствами пожаротушения. </w:t>
            </w:r>
            <w:r>
              <w:rPr>
                <w:sz w:val="24"/>
                <w:szCs w:val="24"/>
              </w:rPr>
            </w:r>
            <w:r>
              <w:rPr>
                <w:sz w:val="24"/>
                <w:szCs w:val="24"/>
              </w:rPr>
            </w:r>
          </w:p>
          <w:p>
            <w:pPr>
              <w:pStyle w:val="1024"/>
              <w:ind w:left="0" w:right="0" w:firstLine="567"/>
              <w:jc w:val="both"/>
              <w:spacing w:line="276" w:lineRule="auto"/>
              <w:tabs>
                <w:tab w:val="left" w:pos="256" w:leader="none"/>
              </w:tabs>
              <w:rPr>
                <w:bCs/>
                <w:sz w:val="24"/>
                <w:szCs w:val="24"/>
                <w:highlight w:val="white"/>
              </w:rPr>
            </w:pPr>
            <w:r>
              <w:rPr>
                <w:i/>
                <w:iCs/>
                <w:sz w:val="24"/>
                <w:szCs w:val="24"/>
              </w:rPr>
              <w:t xml:space="preserve">В случае, если какой-либо из указанных нормативных документов </w:t>
            </w:r>
            <w:r>
              <w:rPr>
                <w:i/>
                <w:iCs/>
                <w:sz w:val="24"/>
                <w:szCs w:val="24"/>
              </w:rPr>
              <w:t xml:space="preserve">был отменен в связи с выпуском новой реда</w:t>
            </w:r>
            <w:r>
              <w:rPr>
                <w:i/>
                <w:iCs/>
                <w:sz w:val="24"/>
                <w:szCs w:val="24"/>
              </w:rPr>
              <w:t xml:space="preserve">кции стандарта в процессе проведения закупки и/или исполнения Договора, то необходимо применять нормативный документ, принятый в его развитие .</w:t>
            </w:r>
            <w:r>
              <w:rPr>
                <w:bCs/>
                <w:sz w:val="24"/>
                <w:szCs w:val="24"/>
                <w:highlight w:val="white"/>
              </w:rPr>
            </w:r>
            <w:r>
              <w:rPr>
                <w:bCs/>
                <w:sz w:val="24"/>
                <w:szCs w:val="24"/>
                <w:highlight w:val="white"/>
              </w:rPr>
            </w:r>
          </w:p>
        </w:tc>
        <w:tc>
          <w:tcPr>
            <w:tcW w:w="3402" w:type="dxa"/>
            <w:vMerge w:val="continue"/>
            <w:textDirection w:val="lrTb"/>
            <w:noWrap w:val="false"/>
          </w:tcPr>
          <w:p>
            <w:r/>
            <w:r/>
          </w:p>
        </w:tc>
        <w:tc>
          <w:tcPr>
            <w:tcW w:w="2407" w:type="dxa"/>
            <w:vMerge w:val="continue"/>
            <w:textDirection w:val="lrTb"/>
            <w:noWrap w:val="false"/>
          </w:tcPr>
          <w:p>
            <w:r/>
            <w:r/>
          </w:p>
        </w:tc>
      </w:tr>
      <w:tr>
        <w:tblPrEx/>
        <w:trPr/>
        <w:tc>
          <w:tcPr>
            <w:tcW w:w="680" w:type="dxa"/>
            <w:vMerge w:val="restart"/>
            <w:textDirection w:val="lrTb"/>
            <w:noWrap w:val="false"/>
          </w:tcPr>
          <w:p>
            <w:pPr>
              <w:jc w:val="center"/>
              <w:spacing w:before="60" w:after="60" w:line="276" w:lineRule="auto"/>
              <w:rPr>
                <w:sz w:val="20"/>
                <w:szCs w:val="20"/>
              </w:rPr>
            </w:pPr>
            <w:r>
              <w:rPr>
                <w:sz w:val="20"/>
                <w:szCs w:val="20"/>
              </w:rPr>
              <w:t xml:space="preserve">1.5.3</w:t>
            </w:r>
            <w:r>
              <w:rPr>
                <w:sz w:val="20"/>
                <w:szCs w:val="20"/>
              </w:rPr>
            </w:r>
            <w:r>
              <w:rPr>
                <w:sz w:val="20"/>
                <w:szCs w:val="20"/>
              </w:rPr>
            </w:r>
          </w:p>
        </w:tc>
        <w:tc>
          <w:tcPr>
            <w:tcW w:w="2126" w:type="dxa"/>
            <w:vMerge w:val="restart"/>
            <w:textDirection w:val="lrTb"/>
            <w:noWrap w:val="false"/>
          </w:tcPr>
          <w:p>
            <w:pPr>
              <w:spacing w:line="276" w:lineRule="auto"/>
              <w:rPr>
                <w:rFonts w:eastAsia="Calibri"/>
                <w:sz w:val="24"/>
                <w:szCs w:val="24"/>
                <w:highlight w:val="white"/>
              </w:rPr>
              <w:outlineLvl w:val="2"/>
            </w:pPr>
            <w:r>
              <w:rPr>
                <w:rFonts w:eastAsia="Calibri"/>
                <w:sz w:val="24"/>
                <w:szCs w:val="24"/>
                <w:highlight w:val="white"/>
              </w:rPr>
              <w:t xml:space="preserve">Соблюдение требований к охране окружающей среды</w:t>
            </w:r>
            <w:r>
              <w:rPr>
                <w:rFonts w:eastAsia="Calibri"/>
                <w:sz w:val="24"/>
                <w:szCs w:val="24"/>
                <w:highlight w:val="white"/>
              </w:rPr>
            </w:r>
            <w:r>
              <w:rPr>
                <w:rFonts w:eastAsia="Calibri"/>
                <w:sz w:val="24"/>
                <w:szCs w:val="24"/>
                <w:highlight w:val="white"/>
              </w:rPr>
            </w:r>
          </w:p>
        </w:tc>
        <w:tc>
          <w:tcPr>
            <w:tcW w:w="6519" w:type="dxa"/>
            <w:vMerge w:val="restart"/>
            <w:textDirection w:val="lrTb"/>
            <w:noWrap w:val="false"/>
          </w:tcPr>
          <w:p>
            <w:pPr>
              <w:ind w:left="0" w:right="0" w:firstLine="567"/>
              <w:jc w:val="both"/>
              <w:spacing w:line="276" w:lineRule="auto"/>
              <w:rPr>
                <w:sz w:val="24"/>
                <w:szCs w:val="24"/>
              </w:rPr>
            </w:pPr>
            <w:r>
              <w:rPr>
                <w:sz w:val="24"/>
                <w:szCs w:val="24"/>
                <w:highlight w:val="white"/>
              </w:rPr>
              <w:t xml:space="preserve">При выполнении всех ремонтных работ необходимо строго соблюдать требования защиты окружающей среды, сохранения её устойчивого равновесия и не нарушать условия землепользования, установленные законодательством об охране природы.</w:t>
            </w:r>
            <w:r>
              <w:rPr>
                <w:sz w:val="24"/>
                <w:szCs w:val="24"/>
              </w:rPr>
            </w:r>
            <w:r>
              <w:rPr>
                <w:sz w:val="24"/>
                <w:szCs w:val="24"/>
              </w:rPr>
            </w:r>
          </w:p>
          <w:p>
            <w:pPr>
              <w:ind w:left="0" w:right="0" w:firstLine="567"/>
              <w:jc w:val="both"/>
              <w:spacing w:line="276" w:lineRule="auto"/>
              <w:rPr>
                <w:sz w:val="24"/>
                <w:szCs w:val="24"/>
              </w:rPr>
            </w:pPr>
            <w:r>
              <w:rPr>
                <w:sz w:val="24"/>
                <w:szCs w:val="24"/>
                <w:highlight w:val="white"/>
              </w:rPr>
              <w:t xml:space="preserve">Отходы, строительный мусор д</w:t>
            </w:r>
            <w:r>
              <w:rPr>
                <w:sz w:val="24"/>
                <w:szCs w:val="24"/>
                <w:highlight w:val="white"/>
              </w:rPr>
              <w:t xml:space="preserve">олжны своевременно вывозиться для дальнейшей утилизации.</w:t>
            </w:r>
            <w:r>
              <w:rPr>
                <w:sz w:val="24"/>
                <w:szCs w:val="24"/>
              </w:rPr>
            </w:r>
            <w:r>
              <w:rPr>
                <w:sz w:val="24"/>
                <w:szCs w:val="24"/>
              </w:rPr>
            </w:r>
          </w:p>
          <w:p>
            <w:pPr>
              <w:contextualSpacing/>
              <w:ind w:left="0" w:right="0" w:firstLine="567"/>
              <w:jc w:val="both"/>
              <w:spacing w:line="276" w:lineRule="auto"/>
              <w:widowControl w:val="off"/>
              <w:rPr>
                <w:sz w:val="24"/>
                <w:szCs w:val="24"/>
              </w:rPr>
            </w:pPr>
            <w:r>
              <w:rPr>
                <w:sz w:val="24"/>
                <w:szCs w:val="24"/>
                <w:highlight w:val="white"/>
              </w:rPr>
              <w:t xml:space="preserve">Мероприятия и работы по охране окружающей среды вести в соответствии: </w:t>
            </w:r>
            <w:r>
              <w:rPr>
                <w:sz w:val="24"/>
                <w:szCs w:val="24"/>
              </w:rPr>
            </w:r>
            <w:r>
              <w:rPr>
                <w:sz w:val="24"/>
                <w:szCs w:val="24"/>
              </w:rPr>
            </w:r>
          </w:p>
          <w:p>
            <w:pPr>
              <w:pStyle w:val="1024"/>
              <w:numPr>
                <w:ilvl w:val="0"/>
                <w:numId w:val="23"/>
              </w:numPr>
              <w:ind w:left="0" w:right="0" w:firstLine="567"/>
              <w:jc w:val="both"/>
              <w:spacing w:line="276" w:lineRule="auto"/>
              <w:widowControl w:val="off"/>
              <w:tabs>
                <w:tab w:val="left" w:pos="283" w:leader="none"/>
              </w:tabs>
              <w:rPr>
                <w:sz w:val="24"/>
                <w:szCs w:val="24"/>
              </w:rPr>
            </w:pPr>
            <w:r>
              <w:rPr>
                <w:sz w:val="24"/>
                <w:szCs w:val="24"/>
                <w:highlight w:val="white"/>
              </w:rPr>
              <w:t xml:space="preserve">Федеральный закон от 10.01.2002 № 7-ФЗ «Об охране окружающей среды» (ред. от 02.07.21);</w:t>
            </w:r>
            <w:r>
              <w:rPr>
                <w:sz w:val="24"/>
                <w:szCs w:val="24"/>
              </w:rPr>
            </w:r>
            <w:r>
              <w:rPr>
                <w:sz w:val="24"/>
                <w:szCs w:val="24"/>
              </w:rPr>
            </w:r>
          </w:p>
          <w:p>
            <w:pPr>
              <w:pStyle w:val="1024"/>
              <w:numPr>
                <w:ilvl w:val="0"/>
                <w:numId w:val="23"/>
              </w:numPr>
              <w:ind w:left="0" w:right="0" w:firstLine="567"/>
              <w:jc w:val="both"/>
              <w:spacing w:line="276" w:lineRule="auto"/>
              <w:widowControl w:val="off"/>
              <w:tabs>
                <w:tab w:val="left" w:pos="283" w:leader="none"/>
              </w:tabs>
              <w:rPr>
                <w:sz w:val="24"/>
                <w:szCs w:val="24"/>
              </w:rPr>
            </w:pPr>
            <w:r>
              <w:rPr>
                <w:sz w:val="24"/>
                <w:szCs w:val="24"/>
                <w:highlight w:val="white"/>
              </w:rPr>
              <w:t xml:space="preserve">Федеральный закон от 04.05.1999 № 96-ФЗ «Об охране атмосферного воздуха» (ред. от 11.06.2021);</w:t>
            </w:r>
            <w:r>
              <w:rPr>
                <w:sz w:val="24"/>
                <w:szCs w:val="24"/>
              </w:rPr>
            </w:r>
            <w:r>
              <w:rPr>
                <w:sz w:val="24"/>
                <w:szCs w:val="24"/>
              </w:rPr>
            </w:r>
          </w:p>
          <w:p>
            <w:pPr>
              <w:pStyle w:val="1024"/>
              <w:numPr>
                <w:ilvl w:val="0"/>
                <w:numId w:val="23"/>
              </w:numPr>
              <w:ind w:left="0" w:right="0" w:firstLine="567"/>
              <w:jc w:val="both"/>
              <w:spacing w:line="276" w:lineRule="auto"/>
              <w:widowControl w:val="off"/>
              <w:tabs>
                <w:tab w:val="left" w:pos="283" w:leader="none"/>
              </w:tabs>
              <w:rPr>
                <w:sz w:val="24"/>
                <w:szCs w:val="24"/>
              </w:rPr>
            </w:pPr>
            <w:r>
              <w:rPr>
                <w:sz w:val="24"/>
                <w:szCs w:val="24"/>
                <w:highlight w:val="white"/>
              </w:rPr>
              <w:t xml:space="preserve">Водный кодекс Российской Федерации</w:t>
            </w:r>
            <w:r>
              <w:rPr>
                <w:sz w:val="24"/>
                <w:szCs w:val="24"/>
              </w:rPr>
              <w:t xml:space="preserve">.</w:t>
            </w:r>
            <w:r>
              <w:rPr>
                <w:sz w:val="24"/>
                <w:szCs w:val="24"/>
              </w:rPr>
            </w:r>
            <w:r>
              <w:rPr>
                <w:sz w:val="24"/>
                <w:szCs w:val="24"/>
              </w:rPr>
            </w:r>
          </w:p>
          <w:p>
            <w:pPr>
              <w:pStyle w:val="1024"/>
              <w:ind w:left="0" w:right="0" w:firstLine="567"/>
              <w:jc w:val="both"/>
              <w:spacing w:line="276" w:lineRule="auto"/>
              <w:tabs>
                <w:tab w:val="left" w:pos="256" w:leader="none"/>
              </w:tabs>
              <w:rPr>
                <w:bCs/>
                <w:sz w:val="24"/>
                <w:szCs w:val="24"/>
                <w:highlight w:val="white"/>
              </w:rPr>
            </w:pPr>
            <w:r>
              <w:rPr>
                <w:i/>
                <w:iCs/>
                <w:sz w:val="24"/>
                <w:szCs w:val="24"/>
              </w:rPr>
              <w:t xml:space="preserve">В случае, если какой-либо из указанных нормативных документов был отменен в связи с выпуском новой редакции стандарта в процессе проведения закупки и/или исполнения Договора, то необходимо применять нормативный документ, принятый в его развитие</w:t>
            </w:r>
            <w:r>
              <w:rPr>
                <w:i/>
                <w:iCs/>
                <w:sz w:val="24"/>
                <w:szCs w:val="24"/>
                <w:highlight w:val="white"/>
              </w:rPr>
              <w:t xml:space="preserve">.</w:t>
            </w:r>
            <w:r>
              <w:rPr>
                <w:bCs/>
                <w:sz w:val="24"/>
                <w:szCs w:val="24"/>
                <w:highlight w:val="white"/>
              </w:rPr>
            </w:r>
            <w:r>
              <w:rPr>
                <w:bCs/>
                <w:sz w:val="24"/>
                <w:szCs w:val="24"/>
                <w:highlight w:val="white"/>
              </w:rPr>
            </w:r>
          </w:p>
        </w:tc>
        <w:tc>
          <w:tcPr>
            <w:tcW w:w="3402" w:type="dxa"/>
            <w:vMerge w:val="continue"/>
            <w:textDirection w:val="lrTb"/>
            <w:noWrap w:val="false"/>
          </w:tcPr>
          <w:p>
            <w:r/>
            <w:r/>
          </w:p>
        </w:tc>
        <w:tc>
          <w:tcPr>
            <w:tcW w:w="2407" w:type="dxa"/>
            <w:vMerge w:val="continue"/>
            <w:textDirection w:val="lrTb"/>
            <w:noWrap w:val="false"/>
          </w:tcPr>
          <w:p>
            <w:r/>
            <w:r/>
          </w:p>
        </w:tc>
      </w:tr>
      <w:tr>
        <w:tblPrEx/>
        <w:trPr/>
        <w:tc>
          <w:tcPr>
            <w:tcW w:w="680" w:type="dxa"/>
            <w:vMerge w:val="restart"/>
            <w:textDirection w:val="lrTb"/>
            <w:noWrap w:val="false"/>
          </w:tcPr>
          <w:p>
            <w:pPr>
              <w:jc w:val="center"/>
              <w:spacing w:before="60" w:after="60" w:line="276" w:lineRule="auto"/>
              <w:rPr>
                <w:sz w:val="20"/>
                <w:szCs w:val="20"/>
              </w:rPr>
            </w:pPr>
            <w:r>
              <w:rPr>
                <w:sz w:val="20"/>
                <w:szCs w:val="20"/>
              </w:rPr>
              <w:t xml:space="preserve">1.5.4</w:t>
            </w:r>
            <w:r>
              <w:rPr>
                <w:sz w:val="20"/>
                <w:szCs w:val="20"/>
              </w:rPr>
            </w:r>
            <w:r>
              <w:rPr>
                <w:sz w:val="20"/>
                <w:szCs w:val="20"/>
              </w:rPr>
            </w:r>
          </w:p>
        </w:tc>
        <w:tc>
          <w:tcPr>
            <w:tcW w:w="2126" w:type="dxa"/>
            <w:vMerge w:val="restart"/>
            <w:textDirection w:val="lrTb"/>
            <w:noWrap w:val="false"/>
          </w:tcPr>
          <w:p>
            <w:pPr>
              <w:spacing w:line="276" w:lineRule="auto"/>
              <w:rPr>
                <w:rFonts w:eastAsia="Calibri"/>
                <w:sz w:val="24"/>
                <w:szCs w:val="24"/>
                <w:highlight w:val="white"/>
              </w:rPr>
              <w:outlineLvl w:val="2"/>
            </w:pPr>
            <w:r>
              <w:rPr>
                <w:rFonts w:eastAsia="Calibri"/>
                <w:sz w:val="24"/>
                <w:szCs w:val="24"/>
                <w:highlight w:val="white"/>
              </w:rPr>
              <w:t xml:space="preserve">Соблюдение требований охраны труда</w:t>
            </w:r>
            <w:r>
              <w:rPr>
                <w:rFonts w:eastAsia="Calibri"/>
                <w:sz w:val="24"/>
                <w:szCs w:val="24"/>
                <w:highlight w:val="white"/>
              </w:rPr>
            </w:r>
            <w:r>
              <w:rPr>
                <w:rFonts w:eastAsia="Calibri"/>
                <w:sz w:val="24"/>
                <w:szCs w:val="24"/>
                <w:highlight w:val="white"/>
              </w:rPr>
            </w:r>
          </w:p>
        </w:tc>
        <w:tc>
          <w:tcPr>
            <w:tcW w:w="6519" w:type="dxa"/>
            <w:vMerge w:val="restart"/>
            <w:textDirection w:val="lrTb"/>
            <w:noWrap w:val="false"/>
          </w:tcPr>
          <w:p>
            <w:pPr>
              <w:ind w:left="0" w:right="0" w:firstLine="567"/>
              <w:jc w:val="both"/>
              <w:spacing w:line="276" w:lineRule="auto"/>
              <w:rPr>
                <w:sz w:val="24"/>
                <w:szCs w:val="24"/>
                <w:highlight w:val="white"/>
              </w:rPr>
            </w:pPr>
            <w:r>
              <w:rPr>
                <w:sz w:val="24"/>
                <w:szCs w:val="24"/>
                <w:highlight w:val="white"/>
              </w:rPr>
              <w:t xml:space="preserve">Контроль по соблюдению требований охраны труда осуществляется Подрядчиком и Заказчиком. Заказчик обязуется назначить куратора и обеспечить допуск персонала подрядчика к месту проведения ремонтных работ. </w:t>
            </w:r>
            <w:r>
              <w:rPr>
                <w:sz w:val="24"/>
                <w:szCs w:val="24"/>
                <w:highlight w:val="white"/>
              </w:rPr>
            </w:r>
            <w:r>
              <w:rPr>
                <w:sz w:val="24"/>
                <w:szCs w:val="24"/>
                <w:highlight w:val="white"/>
              </w:rPr>
            </w:r>
          </w:p>
          <w:p>
            <w:pPr>
              <w:ind w:left="0" w:right="0" w:firstLine="567"/>
              <w:jc w:val="both"/>
              <w:spacing w:line="276" w:lineRule="auto"/>
              <w:rPr>
                <w:sz w:val="24"/>
                <w:szCs w:val="24"/>
                <w:highlight w:val="white"/>
              </w:rPr>
            </w:pPr>
            <w:r>
              <w:rPr>
                <w:sz w:val="24"/>
                <w:szCs w:val="24"/>
                <w:highlight w:val="white"/>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r>
              <w:rPr>
                <w:sz w:val="24"/>
                <w:szCs w:val="24"/>
                <w:highlight w:val="white"/>
              </w:rPr>
            </w:r>
            <w:r>
              <w:rPr>
                <w:sz w:val="24"/>
                <w:szCs w:val="24"/>
                <w:highlight w:val="white"/>
              </w:rPr>
            </w:r>
          </w:p>
          <w:p>
            <w:pPr>
              <w:ind w:left="0" w:right="0" w:firstLine="567"/>
              <w:jc w:val="both"/>
              <w:spacing w:line="276" w:lineRule="auto"/>
              <w:rPr>
                <w:sz w:val="24"/>
                <w:szCs w:val="24"/>
                <w:highlight w:val="white"/>
              </w:rPr>
            </w:pPr>
            <w:r>
              <w:rPr>
                <w:sz w:val="24"/>
                <w:szCs w:val="24"/>
                <w:highlight w:val="white"/>
              </w:rPr>
              <w:t xml:space="preserve">Организация ремонтной площадки, участков работ</w:t>
            </w:r>
            <w:r>
              <w:rPr>
                <w:sz w:val="24"/>
                <w:szCs w:val="24"/>
                <w:highlight w:val="white"/>
              </w:rPr>
              <w:t xml:space="preserve"> и рабочих мест должна обеспечивать безопасность труда работа</w:t>
            </w:r>
            <w:r>
              <w:rPr>
                <w:sz w:val="24"/>
                <w:szCs w:val="24"/>
                <w:highlight w:val="white"/>
              </w:rPr>
              <w:t xml:space="preserve">ющих на всех этапах выполнения ремонтных работ. Для производства работ в охранной зоне необходимо получить наряд-допуск.</w:t>
            </w:r>
            <w:r>
              <w:rPr>
                <w:sz w:val="24"/>
                <w:szCs w:val="24"/>
                <w:highlight w:val="white"/>
              </w:rPr>
            </w:r>
            <w:r>
              <w:rPr>
                <w:sz w:val="24"/>
                <w:szCs w:val="24"/>
                <w:highlight w:val="white"/>
              </w:rPr>
            </w:r>
          </w:p>
          <w:p>
            <w:pPr>
              <w:ind w:left="0" w:right="0" w:firstLine="567"/>
              <w:jc w:val="both"/>
              <w:spacing w:line="276" w:lineRule="auto"/>
              <w:widowControl w:val="off"/>
              <w:tabs>
                <w:tab w:val="left" w:pos="567" w:leader="none"/>
              </w:tabs>
              <w:rPr>
                <w:sz w:val="24"/>
                <w:szCs w:val="24"/>
                <w:highlight w:val="white"/>
              </w:rPr>
            </w:pPr>
            <w:r>
              <w:rPr>
                <w:sz w:val="24"/>
                <w:szCs w:val="24"/>
                <w:highlight w:val="white"/>
              </w:rPr>
              <w:t xml:space="preserve">Меры по соблюдению требований охраны труда при выполнении работ обеспечива</w:t>
            </w:r>
            <w:r>
              <w:rPr>
                <w:sz w:val="24"/>
                <w:szCs w:val="24"/>
                <w:highlight w:val="white"/>
              </w:rPr>
              <w:t xml:space="preserve">ются как организационно-техническими, так и техническими средствами защиты указанных в следующих нормативных документах:</w:t>
            </w:r>
            <w:r>
              <w:rPr>
                <w:sz w:val="24"/>
                <w:szCs w:val="24"/>
                <w:highlight w:val="white"/>
              </w:rPr>
            </w:r>
            <w:r>
              <w:rPr>
                <w:sz w:val="24"/>
                <w:szCs w:val="24"/>
                <w:highlight w:val="white"/>
              </w:rPr>
            </w:r>
          </w:p>
          <w:p>
            <w:pPr>
              <w:numPr>
                <w:ilvl w:val="0"/>
                <w:numId w:val="20"/>
              </w:numPr>
              <w:ind w:left="0" w:right="0" w:firstLine="567"/>
              <w:jc w:val="both"/>
              <w:spacing w:line="276" w:lineRule="auto"/>
              <w:widowControl w:val="off"/>
              <w:tabs>
                <w:tab w:val="left" w:pos="425" w:leader="none"/>
              </w:tabs>
              <w:rPr>
                <w:sz w:val="24"/>
                <w:szCs w:val="24"/>
                <w:highlight w:val="white"/>
              </w:rPr>
            </w:pPr>
            <w:r>
              <w:rPr>
                <w:sz w:val="24"/>
                <w:szCs w:val="24"/>
                <w:highlight w:val="white"/>
              </w:rPr>
              <w:t xml:space="preserve">Правила по охране труда при</w:t>
            </w:r>
            <w:r>
              <w:rPr>
                <w:sz w:val="24"/>
                <w:szCs w:val="24"/>
                <w:highlight w:val="white"/>
              </w:rPr>
              <w:t xml:space="preserve"> строительстве, реконструкции и ремонте (утверждены приказом Министерства труда от 11.12.2020 № 883н);</w:t>
            </w:r>
            <w:r>
              <w:rPr>
                <w:sz w:val="24"/>
                <w:szCs w:val="24"/>
                <w:highlight w:val="white"/>
              </w:rPr>
            </w:r>
            <w:r>
              <w:rPr>
                <w:sz w:val="24"/>
                <w:szCs w:val="24"/>
                <w:highlight w:val="white"/>
              </w:rPr>
            </w:r>
          </w:p>
          <w:p>
            <w:pPr>
              <w:numPr>
                <w:ilvl w:val="0"/>
                <w:numId w:val="20"/>
              </w:numPr>
              <w:ind w:left="0" w:right="0" w:firstLine="567"/>
              <w:jc w:val="both"/>
              <w:spacing w:line="276" w:lineRule="auto"/>
              <w:widowControl w:val="off"/>
              <w:tabs>
                <w:tab w:val="left" w:pos="425" w:leader="none"/>
              </w:tabs>
              <w:rPr>
                <w:sz w:val="24"/>
                <w:szCs w:val="24"/>
                <w:highlight w:val="white"/>
              </w:rPr>
            </w:pPr>
            <w:r>
              <w:rPr>
                <w:sz w:val="24"/>
                <w:szCs w:val="24"/>
                <w:highlight w:val="white"/>
              </w:rPr>
              <w:t xml:space="preserve">Правилах по охране труда при размещении, монтаже, техническом обслуживании и ремонте технологического оборудования (утверждены приказом Министерства труда от 27.11.2020 №833н);</w:t>
            </w:r>
            <w:r>
              <w:rPr>
                <w:sz w:val="24"/>
                <w:szCs w:val="24"/>
                <w:highlight w:val="white"/>
              </w:rPr>
            </w:r>
            <w:r>
              <w:rPr>
                <w:sz w:val="24"/>
                <w:szCs w:val="24"/>
                <w:highlight w:val="white"/>
              </w:rPr>
            </w:r>
          </w:p>
          <w:p>
            <w:pPr>
              <w:numPr>
                <w:ilvl w:val="0"/>
                <w:numId w:val="20"/>
              </w:numPr>
              <w:ind w:left="0" w:right="0" w:firstLine="567"/>
              <w:jc w:val="both"/>
              <w:spacing w:line="276" w:lineRule="auto"/>
              <w:widowControl w:val="off"/>
              <w:tabs>
                <w:tab w:val="left" w:pos="425" w:leader="none"/>
              </w:tabs>
              <w:rPr>
                <w:sz w:val="24"/>
                <w:szCs w:val="24"/>
                <w:highlight w:val="white"/>
              </w:rPr>
            </w:pPr>
            <w:r>
              <w:rPr>
                <w:sz w:val="24"/>
                <w:szCs w:val="24"/>
                <w:highlight w:val="white"/>
              </w:rPr>
              <w:t xml:space="preserve">Правилах по охране труда при эксплуатации электроустановок, утвержденные Приказом Министерства труда и социальной защиты РФ от 15.12.2020 №903н;</w:t>
            </w:r>
            <w:r>
              <w:rPr>
                <w:sz w:val="24"/>
                <w:szCs w:val="24"/>
                <w:highlight w:val="white"/>
              </w:rPr>
            </w:r>
            <w:r>
              <w:rPr>
                <w:sz w:val="24"/>
                <w:szCs w:val="24"/>
                <w:highlight w:val="white"/>
              </w:rPr>
            </w:r>
          </w:p>
          <w:p>
            <w:pPr>
              <w:numPr>
                <w:ilvl w:val="0"/>
                <w:numId w:val="20"/>
              </w:numPr>
              <w:ind w:left="0" w:right="0" w:firstLine="567"/>
              <w:jc w:val="both"/>
              <w:spacing w:line="276" w:lineRule="auto"/>
              <w:widowControl w:val="off"/>
              <w:tabs>
                <w:tab w:val="left" w:pos="425" w:leader="none"/>
              </w:tabs>
              <w:rPr>
                <w:sz w:val="24"/>
                <w:szCs w:val="24"/>
                <w:highlight w:val="white"/>
              </w:rPr>
            </w:pPr>
            <w:r>
              <w:rPr>
                <w:sz w:val="24"/>
                <w:szCs w:val="24"/>
                <w:highlight w:val="white"/>
              </w:rPr>
              <w:t xml:space="preserve">Прави</w:t>
            </w:r>
            <w:r>
              <w:rPr>
                <w:sz w:val="24"/>
                <w:szCs w:val="24"/>
                <w:highlight w:val="white"/>
              </w:rPr>
              <w:t xml:space="preserve">ла по охране труда при работе на высоте (утверждены приказом Министерства труда от 16.11.2020 №782н);</w:t>
            </w:r>
            <w:r>
              <w:rPr>
                <w:sz w:val="24"/>
                <w:szCs w:val="24"/>
                <w:highlight w:val="white"/>
              </w:rPr>
            </w:r>
            <w:r>
              <w:rPr>
                <w:sz w:val="24"/>
                <w:szCs w:val="24"/>
                <w:highlight w:val="white"/>
              </w:rPr>
            </w:r>
          </w:p>
          <w:p>
            <w:pPr>
              <w:numPr>
                <w:ilvl w:val="0"/>
                <w:numId w:val="20"/>
              </w:numPr>
              <w:ind w:left="0" w:right="0" w:firstLine="567"/>
              <w:jc w:val="both"/>
              <w:spacing w:line="276" w:lineRule="auto"/>
              <w:widowControl w:val="off"/>
              <w:tabs>
                <w:tab w:val="left" w:pos="425" w:leader="none"/>
              </w:tabs>
              <w:rPr>
                <w:sz w:val="24"/>
                <w:szCs w:val="24"/>
                <w:highlight w:val="white"/>
              </w:rPr>
            </w:pPr>
            <w:r>
              <w:rPr>
                <w:sz w:val="24"/>
                <w:szCs w:val="24"/>
                <w:highlight w:val="white"/>
              </w:rPr>
              <w:t xml:space="preserve">Правила по охране труда при работе с инструментом и приспособлениями (утверждены приказом Министерства труда от 27.11.2020 № 835н);</w:t>
            </w:r>
            <w:r>
              <w:rPr>
                <w:sz w:val="24"/>
                <w:szCs w:val="24"/>
                <w:highlight w:val="white"/>
              </w:rPr>
            </w:r>
            <w:r>
              <w:rPr>
                <w:sz w:val="24"/>
                <w:szCs w:val="24"/>
                <w:highlight w:val="white"/>
              </w:rPr>
            </w:r>
          </w:p>
          <w:p>
            <w:pPr>
              <w:numPr>
                <w:ilvl w:val="0"/>
                <w:numId w:val="20"/>
              </w:numPr>
              <w:ind w:left="0" w:right="0" w:firstLine="567"/>
              <w:jc w:val="both"/>
              <w:spacing w:line="276" w:lineRule="auto"/>
              <w:widowControl w:val="off"/>
              <w:tabs>
                <w:tab w:val="left" w:pos="425" w:leader="none"/>
              </w:tabs>
              <w:rPr>
                <w:sz w:val="24"/>
                <w:szCs w:val="24"/>
                <w:highlight w:val="white"/>
              </w:rPr>
            </w:pPr>
            <w:r>
              <w:rPr>
                <w:sz w:val="24"/>
                <w:szCs w:val="24"/>
                <w:highlight w:val="white"/>
              </w:rPr>
            </w:r>
            <w:r>
              <w:rPr>
                <w:iCs/>
                <w:sz w:val="24"/>
                <w:szCs w:val="24"/>
                <w:highlight w:val="white"/>
              </w:rPr>
              <w:t xml:space="preserve">-</w:t>
            </w:r>
            <w:r>
              <w:rPr>
                <w:iCs/>
                <w:sz w:val="24"/>
                <w:szCs w:val="24"/>
                <w:highlight w:val="white"/>
              </w:rPr>
              <w:t xml:space="preserve"> Правила при выполнении электросварочных и газосварочных работ (утв. приказом Министерства труда и социальной защиты Российской Федерации от 11.12.2020г. №884н);</w:t>
            </w:r>
            <w:r>
              <w:rPr>
                <w:sz w:val="24"/>
                <w:szCs w:val="24"/>
                <w:highlight w:val="white"/>
              </w:rPr>
            </w:r>
            <w:r>
              <w:rPr>
                <w:sz w:val="24"/>
                <w:szCs w:val="24"/>
                <w:highlight w:val="white"/>
              </w:rPr>
            </w:r>
          </w:p>
          <w:p>
            <w:pPr>
              <w:numPr>
                <w:ilvl w:val="0"/>
                <w:numId w:val="20"/>
              </w:numPr>
              <w:contextualSpacing/>
              <w:ind w:left="0" w:right="0" w:firstLine="567"/>
              <w:jc w:val="both"/>
              <w:spacing w:line="276" w:lineRule="auto"/>
              <w:tabs>
                <w:tab w:val="left" w:pos="313" w:leader="none"/>
                <w:tab w:val="left" w:pos="413" w:leader="none"/>
              </w:tabs>
              <w:rPr>
                <w:sz w:val="24"/>
                <w:szCs w:val="24"/>
                <w:highlight w:val="none"/>
              </w:rPr>
            </w:pPr>
            <w:r>
              <w:rPr>
                <w:sz w:val="24"/>
                <w:szCs w:val="24"/>
                <w:highlight w:val="white"/>
              </w:rPr>
              <w:t xml:space="preserve">Правила при погрузо</w:t>
            </w:r>
            <w:r>
              <w:rPr>
                <w:sz w:val="24"/>
                <w:szCs w:val="24"/>
                <w:highlight w:val="white"/>
              </w:rPr>
              <w:t xml:space="preserve">чно-разгрузочных работах и размещении грузов (утв. пр</w:t>
            </w:r>
            <w:r>
              <w:rPr>
                <w:sz w:val="24"/>
                <w:szCs w:val="24"/>
                <w:highlight w:val="white"/>
              </w:rPr>
              <w:t xml:space="preserve">иказом Министерства труда и социальной защиты Российской Федерации от 28.10.2020 №753н)</w:t>
            </w:r>
            <w:r>
              <w:rPr>
                <w:sz w:val="24"/>
                <w:szCs w:val="24"/>
                <w:highlight w:val="none"/>
              </w:rPr>
              <w:t xml:space="preserve">;</w:t>
            </w:r>
            <w:r>
              <w:rPr>
                <w:sz w:val="24"/>
                <w:szCs w:val="24"/>
                <w:highlight w:val="none"/>
              </w:rPr>
            </w:r>
            <w:r>
              <w:rPr>
                <w:sz w:val="24"/>
                <w:szCs w:val="24"/>
                <w:highlight w:val="none"/>
              </w:rPr>
            </w:r>
          </w:p>
          <w:p>
            <w:pPr>
              <w:numPr>
                <w:ilvl w:val="0"/>
                <w:numId w:val="20"/>
              </w:numPr>
              <w:contextualSpacing/>
              <w:ind w:left="0" w:right="0" w:firstLine="567"/>
              <w:jc w:val="both"/>
              <w:spacing w:line="276" w:lineRule="auto"/>
              <w:tabs>
                <w:tab w:val="left" w:pos="313" w:leader="none"/>
                <w:tab w:val="left" w:pos="413" w:leader="none"/>
              </w:tabs>
              <w:rPr>
                <w:sz w:val="24"/>
                <w:szCs w:val="24"/>
              </w:rPr>
            </w:pPr>
            <w:r>
              <w:rPr>
                <w:sz w:val="24"/>
                <w:szCs w:val="24"/>
                <w:highlight w:val="none"/>
              </w:rPr>
              <w:t xml:space="preserve"> Правил по охране труда на автомобильном транспорте (утв. Приказом Министерства труда и социальной защиты Российской Федерации от 09.12.2020 №871н);</w:t>
            </w:r>
            <w:r>
              <w:rPr>
                <w:sz w:val="24"/>
                <w:szCs w:val="24"/>
              </w:rPr>
            </w:r>
            <w:r>
              <w:rPr>
                <w:sz w:val="24"/>
                <w:szCs w:val="24"/>
              </w:rPr>
            </w:r>
          </w:p>
          <w:p>
            <w:pPr>
              <w:numPr>
                <w:ilvl w:val="0"/>
                <w:numId w:val="20"/>
              </w:numPr>
              <w:contextualSpacing/>
              <w:ind w:left="0" w:right="0" w:firstLine="567"/>
              <w:jc w:val="both"/>
              <w:spacing w:line="276" w:lineRule="auto"/>
              <w:tabs>
                <w:tab w:val="left" w:pos="313" w:leader="none"/>
                <w:tab w:val="left" w:pos="413" w:leader="none"/>
              </w:tabs>
              <w:rPr>
                <w:sz w:val="24"/>
                <w:szCs w:val="24"/>
                <w:highlight w:val="none"/>
              </w:rPr>
            </w:pPr>
            <w:r>
              <w:rPr>
                <w:sz w:val="24"/>
                <w:szCs w:val="24"/>
                <w:highlight w:val="none"/>
              </w:rPr>
              <w:t xml:space="preserve"> О порядке обучения по охране труда и проверки знаний охраны труда (утв. Постановлением правительства РФ от 24.12.2021г. №2464).</w:t>
            </w:r>
            <w:r>
              <w:rPr>
                <w:sz w:val="24"/>
                <w:szCs w:val="24"/>
                <w:highlight w:val="none"/>
              </w:rPr>
            </w:r>
            <w:r>
              <w:rPr>
                <w:sz w:val="24"/>
                <w:szCs w:val="24"/>
                <w:highlight w:val="none"/>
              </w:rPr>
            </w:r>
          </w:p>
          <w:p>
            <w:pPr>
              <w:contextualSpacing/>
              <w:ind w:left="0" w:right="0" w:firstLine="567"/>
              <w:jc w:val="both"/>
              <w:spacing w:line="276" w:lineRule="auto"/>
              <w:tabs>
                <w:tab w:val="left" w:pos="313" w:leader="none"/>
                <w:tab w:val="left" w:pos="413" w:leader="none"/>
              </w:tabs>
              <w:rPr>
                <w:sz w:val="24"/>
                <w:szCs w:val="24"/>
              </w:rPr>
            </w:pPr>
            <w:r>
              <w:rPr>
                <w:sz w:val="24"/>
                <w:szCs w:val="24"/>
                <w:highlight w:val="none"/>
              </w:rPr>
            </w:r>
            <w:r>
              <w:rPr>
                <w:i/>
                <w:sz w:val="24"/>
                <w:szCs w:val="24"/>
              </w:rPr>
              <w:t xml:space="preserve">В случае, если какой-либо из указанных нормативных документов был отменен в связи с выпуском новой редакции стандарта в процессе проведения </w:t>
            </w:r>
            <w:r>
              <w:rPr>
                <w:i/>
                <w:sz w:val="24"/>
                <w:szCs w:val="24"/>
              </w:rPr>
              <w:t xml:space="preserve">закупки и/или исполнения Договора, то необходимо применять нормативный документ, принятый в его развитие </w:t>
            </w:r>
            <w:r>
              <w:rPr>
                <w:sz w:val="24"/>
                <w:szCs w:val="24"/>
              </w:rPr>
            </w:r>
            <w:r>
              <w:rPr>
                <w:sz w:val="24"/>
                <w:szCs w:val="24"/>
              </w:rPr>
            </w:r>
          </w:p>
          <w:p>
            <w:pPr>
              <w:contextualSpacing/>
              <w:ind w:left="0" w:right="0" w:firstLine="567"/>
              <w:jc w:val="both"/>
              <w:spacing w:line="276" w:lineRule="auto"/>
              <w:tabs>
                <w:tab w:val="left" w:pos="572" w:leader="none"/>
              </w:tabs>
              <w:rPr>
                <w:sz w:val="24"/>
                <w:szCs w:val="24"/>
                <w:highlight w:val="white"/>
              </w:rPr>
            </w:pPr>
            <w:r>
              <w:rPr>
                <w:i/>
                <w:sz w:val="24"/>
                <w:szCs w:val="24"/>
                <w:highlight w:val="white"/>
              </w:rPr>
              <w:t xml:space="preserve">Более подробно требования указаны в проекте договора подряда (в том числе в разделе № 2), который включен в состав Документации о закупке)</w:t>
            </w:r>
            <w:r>
              <w:rPr>
                <w:sz w:val="24"/>
                <w:szCs w:val="24"/>
                <w:highlight w:val="white"/>
              </w:rPr>
            </w:r>
            <w:r>
              <w:rPr>
                <w:sz w:val="24"/>
                <w:szCs w:val="24"/>
                <w:highlight w:val="white"/>
              </w:rPr>
            </w:r>
          </w:p>
        </w:tc>
        <w:tc>
          <w:tcPr>
            <w:tcW w:w="3402" w:type="dxa"/>
            <w:vMerge w:val="continue"/>
            <w:textDirection w:val="lrTb"/>
            <w:noWrap w:val="false"/>
          </w:tcPr>
          <w:p>
            <w:r/>
            <w:r/>
          </w:p>
        </w:tc>
        <w:tc>
          <w:tcPr>
            <w:tcW w:w="2407" w:type="dxa"/>
            <w:vMerge w:val="continue"/>
            <w:textDirection w:val="lrTb"/>
            <w:noWrap w:val="false"/>
          </w:tcPr>
          <w:p>
            <w:r/>
            <w:r/>
          </w:p>
        </w:tc>
      </w:tr>
      <w:tr>
        <w:tblPrEx/>
        <w:trPr/>
        <w:tc>
          <w:tcPr>
            <w:tcW w:w="680" w:type="dxa"/>
            <w:textDirection w:val="lrTb"/>
            <w:noWrap w:val="false"/>
          </w:tcPr>
          <w:p>
            <w:pPr>
              <w:pStyle w:val="1024"/>
              <w:numPr>
                <w:ilvl w:val="0"/>
                <w:numId w:val="6"/>
              </w:numPr>
              <w:jc w:val="center"/>
              <w:spacing w:before="60" w:after="60" w:line="276" w:lineRule="auto"/>
              <w:rPr>
                <w:sz w:val="20"/>
                <w:szCs w:val="20"/>
              </w:rPr>
            </w:pPr>
            <w:r>
              <w:rPr>
                <w:sz w:val="20"/>
                <w:szCs w:val="20"/>
              </w:rPr>
            </w:r>
            <w:r>
              <w:rPr>
                <w:sz w:val="20"/>
                <w:szCs w:val="20"/>
              </w:rPr>
            </w:r>
            <w:r>
              <w:rPr>
                <w:sz w:val="20"/>
                <w:szCs w:val="20"/>
              </w:rPr>
            </w:r>
          </w:p>
        </w:tc>
        <w:tc>
          <w:tcPr>
            <w:gridSpan w:val="2"/>
            <w:tcW w:w="8645" w:type="dxa"/>
            <w:textDirection w:val="lrTb"/>
            <w:noWrap w:val="false"/>
          </w:tcPr>
          <w:p>
            <w:pPr>
              <w:spacing w:line="276" w:lineRule="auto"/>
              <w:rPr>
                <w:b/>
                <w:bCs/>
                <w:sz w:val="24"/>
                <w:szCs w:val="24"/>
              </w:rPr>
            </w:pPr>
            <w:r>
              <w:rPr>
                <w:b/>
                <w:bCs/>
                <w:sz w:val="24"/>
                <w:szCs w:val="24"/>
              </w:rPr>
              <w:t xml:space="preserve">Требования к результатам работ</w:t>
            </w:r>
            <w:r>
              <w:rPr>
                <w:b/>
                <w:bCs/>
                <w:sz w:val="24"/>
                <w:szCs w:val="24"/>
              </w:rPr>
            </w:r>
            <w:r>
              <w:rPr>
                <w:b/>
                <w:bCs/>
                <w:sz w:val="24"/>
                <w:szCs w:val="24"/>
              </w:rPr>
            </w:r>
          </w:p>
        </w:tc>
        <w:tc>
          <w:tcPr>
            <w:tcW w:w="3402" w:type="dxa"/>
            <w:vMerge w:val="continue"/>
            <w:textDirection w:val="lrTb"/>
            <w:noWrap w:val="false"/>
          </w:tcPr>
          <w:p>
            <w:r/>
            <w:r/>
          </w:p>
        </w:tc>
        <w:tc>
          <w:tcPr>
            <w:tcW w:w="2407" w:type="dxa"/>
            <w:vMerge w:val="continue"/>
            <w:textDirection w:val="lrTb"/>
            <w:noWrap w:val="false"/>
          </w:tcPr>
          <w:p>
            <w:r/>
            <w:r/>
          </w:p>
        </w:tc>
      </w:tr>
      <w:tr>
        <w:tblPrEx/>
        <w:trPr/>
        <w:tc>
          <w:tcPr>
            <w:tcW w:w="680" w:type="dxa"/>
            <w:textDirection w:val="lrTb"/>
            <w:noWrap w:val="false"/>
          </w:tcPr>
          <w:p>
            <w:pPr>
              <w:pStyle w:val="1024"/>
              <w:numPr>
                <w:ilvl w:val="1"/>
                <w:numId w:val="6"/>
              </w:numPr>
              <w:ind w:left="-117" w:firstLine="142"/>
              <w:jc w:val="center"/>
              <w:spacing w:before="60" w:after="60" w:line="276" w:lineRule="auto"/>
              <w:rPr>
                <w:sz w:val="20"/>
                <w:szCs w:val="20"/>
              </w:rPr>
            </w:pPr>
            <w:r>
              <w:rPr>
                <w:sz w:val="20"/>
                <w:szCs w:val="20"/>
              </w:rPr>
            </w:r>
            <w:r>
              <w:rPr>
                <w:sz w:val="20"/>
                <w:szCs w:val="20"/>
              </w:rPr>
            </w:r>
            <w:r>
              <w:rPr>
                <w:sz w:val="20"/>
                <w:szCs w:val="20"/>
              </w:rPr>
            </w:r>
          </w:p>
        </w:tc>
        <w:tc>
          <w:tcPr>
            <w:gridSpan w:val="2"/>
            <w:tcW w:w="8645" w:type="dxa"/>
            <w:textDirection w:val="lrTb"/>
            <w:noWrap w:val="false"/>
          </w:tcPr>
          <w:p>
            <w:pPr>
              <w:spacing w:before="60" w:line="276" w:lineRule="auto"/>
              <w:rPr>
                <w:b/>
                <w:sz w:val="24"/>
                <w:szCs w:val="24"/>
              </w:rPr>
            </w:pPr>
            <w:r>
              <w:rPr>
                <w:b/>
                <w:sz w:val="24"/>
                <w:szCs w:val="24"/>
              </w:rPr>
              <w:t xml:space="preserve">Общие требования к результатам работ</w:t>
            </w:r>
            <w:r>
              <w:rPr>
                <w:b/>
                <w:sz w:val="24"/>
                <w:szCs w:val="24"/>
              </w:rPr>
            </w:r>
            <w:r>
              <w:rPr>
                <w:b/>
                <w:sz w:val="24"/>
                <w:szCs w:val="24"/>
              </w:rPr>
            </w:r>
          </w:p>
          <w:p>
            <w:pPr>
              <w:spacing w:before="60" w:line="276" w:lineRule="auto"/>
              <w:rPr>
                <w:b/>
                <w:sz w:val="24"/>
                <w:szCs w:val="24"/>
              </w:rPr>
            </w:pPr>
            <w:r>
              <w:rPr>
                <w:sz w:val="24"/>
                <w:szCs w:val="24"/>
              </w:rPr>
              <w:t xml:space="preserve">Состояние тепловой сети  </w:t>
            </w:r>
            <w:r>
              <w:rPr>
                <w:sz w:val="24"/>
                <w:szCs w:val="24"/>
              </w:rPr>
              <w:t xml:space="preserve">после ремонта, </w:t>
            </w:r>
            <w:r>
              <w:rPr>
                <w:sz w:val="24"/>
                <w:szCs w:val="24"/>
                <w:lang w:eastAsia="en-US"/>
              </w:rPr>
              <w:t xml:space="preserve">указанной в таблице №1 к ТТ</w:t>
            </w:r>
            <w:r>
              <w:rPr>
                <w:sz w:val="24"/>
                <w:szCs w:val="24"/>
                <w:lang w:eastAsia="en-US"/>
              </w:rPr>
              <w:t xml:space="preserve"> </w:t>
            </w:r>
            <w:r>
              <w:rPr>
                <w:sz w:val="24"/>
                <w:szCs w:val="24"/>
              </w:rPr>
              <w:t xml:space="preserve"> должно соответствовать требованиям нормативно-технической документации</w:t>
            </w:r>
            <w:r>
              <w:rPr>
                <w:b/>
                <w:sz w:val="24"/>
                <w:szCs w:val="24"/>
              </w:rPr>
              <w:t xml:space="preserve">, </w:t>
            </w:r>
            <w:r>
              <w:rPr>
                <w:sz w:val="24"/>
                <w:szCs w:val="24"/>
                <w:lang w:eastAsia="en-US"/>
              </w:rPr>
              <w:t xml:space="preserve">указанной в п.1.1.1</w:t>
            </w:r>
            <w:r>
              <w:rPr>
                <w:sz w:val="24"/>
                <w:szCs w:val="24"/>
                <w:lang w:eastAsia="en-US"/>
              </w:rPr>
              <w:t xml:space="preserve">.</w:t>
            </w:r>
            <w:r>
              <w:rPr>
                <w:sz w:val="24"/>
                <w:szCs w:val="24"/>
                <w:lang w:eastAsia="en-US"/>
              </w:rPr>
              <w:t xml:space="preserve"> </w:t>
            </w:r>
            <w:r>
              <w:rPr>
                <w:b/>
                <w:sz w:val="24"/>
                <w:szCs w:val="24"/>
              </w:rPr>
            </w:r>
            <w:r>
              <w:rPr>
                <w:b/>
                <w:sz w:val="24"/>
                <w:szCs w:val="24"/>
              </w:rPr>
            </w:r>
          </w:p>
        </w:tc>
        <w:tc>
          <w:tcPr>
            <w:tcW w:w="3402" w:type="dxa"/>
            <w:vMerge w:val="continue"/>
            <w:textDirection w:val="lrTb"/>
            <w:noWrap w:val="false"/>
          </w:tcPr>
          <w:p>
            <w:r/>
            <w:r/>
          </w:p>
        </w:tc>
        <w:tc>
          <w:tcPr>
            <w:tcW w:w="2407" w:type="dxa"/>
            <w:vMerge w:val="continue"/>
            <w:textDirection w:val="lrTb"/>
            <w:noWrap w:val="false"/>
          </w:tcPr>
          <w:p>
            <w:r/>
            <w:r/>
          </w:p>
        </w:tc>
      </w:tr>
      <w:tr>
        <w:tblPrEx/>
        <w:trPr/>
        <w:tc>
          <w:tcPr>
            <w:tcW w:w="680" w:type="dxa"/>
            <w:textDirection w:val="lrTb"/>
            <w:noWrap w:val="false"/>
          </w:tcPr>
          <w:p>
            <w:pPr>
              <w:pStyle w:val="1024"/>
              <w:numPr>
                <w:ilvl w:val="1"/>
                <w:numId w:val="6"/>
              </w:numPr>
              <w:ind w:left="-117" w:firstLine="142"/>
              <w:jc w:val="center"/>
              <w:spacing w:before="60" w:after="60" w:line="276" w:lineRule="auto"/>
              <w:rPr>
                <w:sz w:val="20"/>
                <w:szCs w:val="20"/>
              </w:rPr>
            </w:pPr>
            <w:r>
              <w:rPr>
                <w:sz w:val="20"/>
                <w:szCs w:val="20"/>
              </w:rPr>
            </w:r>
            <w:r>
              <w:rPr>
                <w:sz w:val="20"/>
                <w:szCs w:val="20"/>
              </w:rPr>
            </w:r>
            <w:r>
              <w:rPr>
                <w:sz w:val="20"/>
                <w:szCs w:val="20"/>
              </w:rPr>
            </w:r>
          </w:p>
        </w:tc>
        <w:tc>
          <w:tcPr>
            <w:gridSpan w:val="2"/>
            <w:tcW w:w="8645" w:type="dxa"/>
            <w:textDirection w:val="lrTb"/>
            <w:noWrap w:val="false"/>
          </w:tcPr>
          <w:p>
            <w:pPr>
              <w:spacing w:line="276" w:lineRule="auto"/>
              <w:rPr>
                <w:b/>
                <w:bCs/>
                <w:sz w:val="24"/>
                <w:szCs w:val="24"/>
              </w:rPr>
            </w:pPr>
            <w:r>
              <w:rPr>
                <w:b/>
                <w:bCs/>
                <w:sz w:val="24"/>
                <w:szCs w:val="24"/>
              </w:rPr>
              <w:t xml:space="preserve">Требования к порядку приемки результатов работ</w:t>
            </w:r>
            <w:r>
              <w:rPr>
                <w:b/>
                <w:bCs/>
                <w:sz w:val="24"/>
                <w:szCs w:val="24"/>
              </w:rPr>
            </w:r>
            <w:r>
              <w:rPr>
                <w:b/>
                <w:bCs/>
                <w:sz w:val="24"/>
                <w:szCs w:val="24"/>
              </w:rPr>
            </w:r>
          </w:p>
          <w:p>
            <w:pPr>
              <w:jc w:val="both"/>
              <w:spacing w:line="276" w:lineRule="auto"/>
              <w:rPr>
                <w:bCs/>
                <w:sz w:val="24"/>
                <w:szCs w:val="24"/>
              </w:rPr>
            </w:pPr>
            <w:r>
              <w:rPr>
                <w:sz w:val="24"/>
                <w:szCs w:val="24"/>
              </w:rPr>
              <w:t xml:space="preserve">Подробно указаны в проекте </w:t>
            </w:r>
            <w:r>
              <w:rPr>
                <w:sz w:val="24"/>
                <w:szCs w:val="24"/>
              </w:rPr>
              <w:t xml:space="preserve">Д</w:t>
            </w:r>
            <w:r>
              <w:rPr>
                <w:sz w:val="24"/>
                <w:szCs w:val="24"/>
              </w:rPr>
              <w:t xml:space="preserve">оговора подряда (в том числе в разделе № 4), который включен в состав</w:t>
            </w:r>
            <w:r>
              <w:rPr>
                <w:sz w:val="24"/>
                <w:szCs w:val="24"/>
              </w:rPr>
              <w:t xml:space="preserve"> </w:t>
            </w:r>
            <w:r>
              <w:rPr>
                <w:sz w:val="24"/>
                <w:szCs w:val="24"/>
              </w:rPr>
              <w:t xml:space="preserve">Документации о закупке.</w:t>
            </w:r>
            <w:r>
              <w:rPr>
                <w:bCs/>
                <w:sz w:val="24"/>
                <w:szCs w:val="24"/>
              </w:rPr>
            </w:r>
            <w:r>
              <w:rPr>
                <w:bCs/>
                <w:sz w:val="24"/>
                <w:szCs w:val="24"/>
              </w:rPr>
            </w:r>
          </w:p>
        </w:tc>
        <w:tc>
          <w:tcPr>
            <w:tcW w:w="3402" w:type="dxa"/>
            <w:vMerge w:val="continue"/>
            <w:textDirection w:val="lrTb"/>
            <w:noWrap w:val="false"/>
          </w:tcPr>
          <w:p>
            <w:r/>
            <w:r/>
          </w:p>
        </w:tc>
        <w:tc>
          <w:tcPr>
            <w:tcW w:w="2407" w:type="dxa"/>
            <w:vMerge w:val="continue"/>
            <w:textDirection w:val="lrTb"/>
            <w:noWrap w:val="false"/>
          </w:tcPr>
          <w:p>
            <w:r/>
            <w:r/>
          </w:p>
        </w:tc>
      </w:tr>
      <w:tr>
        <w:tblPrEx/>
        <w:trPr/>
        <w:tc>
          <w:tcPr>
            <w:tcW w:w="680" w:type="dxa"/>
            <w:textDirection w:val="lrTb"/>
            <w:noWrap w:val="false"/>
          </w:tcPr>
          <w:p>
            <w:pPr>
              <w:pStyle w:val="1024"/>
              <w:numPr>
                <w:ilvl w:val="1"/>
                <w:numId w:val="6"/>
              </w:numPr>
              <w:ind w:left="-117" w:firstLine="142"/>
              <w:jc w:val="center"/>
              <w:spacing w:before="60" w:after="60" w:line="276" w:lineRule="auto"/>
              <w:rPr>
                <w:sz w:val="20"/>
                <w:szCs w:val="20"/>
              </w:rPr>
            </w:pPr>
            <w:r>
              <w:rPr>
                <w:sz w:val="20"/>
                <w:szCs w:val="20"/>
              </w:rPr>
            </w:r>
            <w:r>
              <w:rPr>
                <w:sz w:val="20"/>
                <w:szCs w:val="20"/>
              </w:rPr>
            </w:r>
            <w:r>
              <w:rPr>
                <w:sz w:val="20"/>
                <w:szCs w:val="20"/>
              </w:rPr>
            </w:r>
          </w:p>
        </w:tc>
        <w:tc>
          <w:tcPr>
            <w:gridSpan w:val="2"/>
            <w:tcW w:w="8645" w:type="dxa"/>
            <w:textDirection w:val="lrTb"/>
            <w:noWrap w:val="false"/>
          </w:tcPr>
          <w:p>
            <w:pPr>
              <w:spacing w:before="60" w:line="276" w:lineRule="auto"/>
              <w:rPr>
                <w:b/>
                <w:sz w:val="24"/>
                <w:szCs w:val="24"/>
              </w:rPr>
            </w:pPr>
            <w:r>
              <w:rPr>
                <w:b/>
                <w:sz w:val="24"/>
                <w:szCs w:val="24"/>
              </w:rPr>
              <w:t xml:space="preserve">Требования к оформлению документации</w:t>
            </w:r>
            <w:r>
              <w:rPr>
                <w:b/>
                <w:sz w:val="24"/>
                <w:szCs w:val="24"/>
              </w:rPr>
            </w:r>
            <w:r>
              <w:rPr>
                <w:b/>
                <w:sz w:val="24"/>
                <w:szCs w:val="24"/>
              </w:rPr>
            </w:r>
          </w:p>
          <w:p>
            <w:pPr>
              <w:ind w:left="0" w:right="0" w:firstLine="567"/>
              <w:jc w:val="both"/>
              <w:spacing w:line="276" w:lineRule="auto"/>
              <w:shd w:val="clear" w:color="auto" w:fill="ffffff"/>
              <w:tabs>
                <w:tab w:val="left" w:pos="317" w:leader="none"/>
                <w:tab w:val="left" w:pos="1560" w:leader="none"/>
              </w:tabs>
              <w:rPr>
                <w:sz w:val="24"/>
                <w:szCs w:val="24"/>
              </w:rPr>
            </w:pPr>
            <w:r>
              <w:rPr>
                <w:sz w:val="24"/>
                <w:szCs w:val="24"/>
              </w:rPr>
              <w:t xml:space="preserve">Представить Зак</w:t>
            </w:r>
            <w:r>
              <w:rPr>
                <w:sz w:val="24"/>
                <w:szCs w:val="24"/>
              </w:rPr>
              <w:t xml:space="preserve">азчику с актами выполненных работ (в 3 (трёх) экземплярах, а также электронные версии Акта КС-2 и Справки КС-3 в формате *gsfx ПК «ГРАНД Смета» на </w:t>
            </w:r>
            <w:r>
              <w:rPr>
                <w:sz w:val="24"/>
                <w:szCs w:val="24"/>
              </w:rPr>
              <w:t xml:space="preserve">цифровом носителе) исполнительную документацию в электронном виде (в формате *.pdf) и на бумажном носителе в </w:t>
            </w:r>
            <w:r>
              <w:rPr>
                <w:sz w:val="24"/>
                <w:szCs w:val="24"/>
              </w:rPr>
              <w:t xml:space="preserve">3-х экземплярах. </w:t>
            </w:r>
            <w:r>
              <w:rPr>
                <w:sz w:val="24"/>
                <w:szCs w:val="24"/>
              </w:rPr>
            </w:r>
            <w:r>
              <w:rPr>
                <w:sz w:val="24"/>
                <w:szCs w:val="24"/>
              </w:rPr>
            </w:r>
          </w:p>
          <w:p>
            <w:pPr>
              <w:ind w:left="0" w:right="0" w:firstLine="567"/>
              <w:jc w:val="both"/>
              <w:spacing w:line="276" w:lineRule="auto"/>
              <w:shd w:val="clear" w:color="auto" w:fill="ffffff"/>
              <w:tabs>
                <w:tab w:val="left" w:pos="317" w:leader="none"/>
                <w:tab w:val="left" w:pos="1560" w:leader="none"/>
              </w:tabs>
              <w:rPr>
                <w:sz w:val="24"/>
                <w:szCs w:val="24"/>
              </w:rPr>
            </w:pPr>
            <w:r>
              <w:rPr>
                <w:rFonts w:eastAsia="Iosevka Term SS03"/>
                <w:color w:val="000000" w:themeColor="text1"/>
                <w:sz w:val="24"/>
                <w:szCs w:val="24"/>
                <w:highlight w:val="white"/>
              </w:rPr>
              <w:t xml:space="preserve">Исполнительная документация должна быть оформлена в соответствии с:</w:t>
            </w:r>
            <w:r>
              <w:rPr>
                <w:sz w:val="24"/>
                <w:szCs w:val="24"/>
              </w:rPr>
            </w:r>
            <w:r>
              <w:rPr>
                <w:sz w:val="24"/>
                <w:szCs w:val="24"/>
              </w:rPr>
            </w:r>
          </w:p>
          <w:p>
            <w:pPr>
              <w:pStyle w:val="1024"/>
              <w:numPr>
                <w:ilvl w:val="0"/>
                <w:numId w:val="24"/>
              </w:numPr>
              <w:ind w:left="0" w:right="0" w:firstLine="567"/>
              <w:jc w:val="both"/>
              <w:spacing w:line="276" w:lineRule="auto"/>
              <w:shd w:val="clear" w:color="auto" w:fill="ffffff"/>
              <w:tabs>
                <w:tab w:val="left" w:pos="425" w:leader="none"/>
                <w:tab w:val="left" w:pos="1560" w:leader="none"/>
              </w:tabs>
              <w:rPr>
                <w:sz w:val="24"/>
                <w:szCs w:val="24"/>
              </w:rPr>
            </w:pPr>
            <w:r>
              <w:rPr>
                <w:rFonts w:eastAsia="Iosevka Term SS03"/>
                <w:color w:val="000000" w:themeColor="text1"/>
                <w:sz w:val="24"/>
                <w:szCs w:val="24"/>
                <w:highlight w:val="white"/>
              </w:rPr>
              <w:t xml:space="preserve">Приказом Министерства строительства и ЖКХ №344 от 16.05.2023 «С</w:t>
            </w:r>
            <w:r>
              <w:rPr>
                <w:rFonts w:eastAsia="Times New Roman"/>
                <w:color w:val="000000"/>
                <w:sz w:val="24"/>
                <w:szCs w:val="24"/>
              </w:rPr>
              <w:t xml:space="preserve">остав и порядок ведения исполнительной документации при строительстве, реконструкции, капитальном ремонте о</w:t>
            </w:r>
            <w:r>
              <w:rPr>
                <w:rFonts w:eastAsia="Times New Roman"/>
                <w:color w:val="000000"/>
                <w:sz w:val="24"/>
                <w:szCs w:val="24"/>
              </w:rPr>
              <w:t xml:space="preserve">бъектов капитального строительства»</w:t>
            </w:r>
            <w:r>
              <w:rPr>
                <w:rFonts w:eastAsia="Iosevka Term SS03"/>
                <w:color w:val="000000" w:themeColor="text1"/>
                <w:sz w:val="24"/>
                <w:szCs w:val="24"/>
                <w:highlight w:val="white"/>
              </w:rPr>
              <w:t xml:space="preserve">;</w:t>
            </w:r>
            <w:r>
              <w:rPr>
                <w:sz w:val="24"/>
                <w:szCs w:val="24"/>
              </w:rPr>
            </w:r>
            <w:r>
              <w:rPr>
                <w:sz w:val="24"/>
                <w:szCs w:val="24"/>
              </w:rPr>
            </w:r>
          </w:p>
          <w:p>
            <w:pPr>
              <w:pStyle w:val="1024"/>
              <w:numPr>
                <w:ilvl w:val="0"/>
                <w:numId w:val="24"/>
              </w:numPr>
              <w:ind w:left="0" w:right="0" w:firstLine="567"/>
              <w:jc w:val="both"/>
              <w:spacing w:line="276" w:lineRule="auto"/>
              <w:shd w:val="clear" w:color="auto" w:fill="ffffff"/>
              <w:tabs>
                <w:tab w:val="left" w:pos="425" w:leader="none"/>
                <w:tab w:val="left" w:pos="1560" w:leader="none"/>
              </w:tabs>
              <w:rPr>
                <w:sz w:val="24"/>
                <w:szCs w:val="24"/>
              </w:rPr>
            </w:pPr>
            <w:r>
              <w:rPr>
                <w:rFonts w:eastAsia="Iosevka Term SS03"/>
                <w:color w:val="000000" w:themeColor="text1"/>
                <w:sz w:val="24"/>
                <w:szCs w:val="24"/>
                <w:highlight w:val="white"/>
              </w:rPr>
              <w:t xml:space="preserve">Положением «Об организации контроля и приемке выполненных работ на ремонтируемых объектах, объектах модернизации, реконструкции и технического перевооружения», утвержденным приказом № 555 от 29.11.2019 АО «ДГК</w:t>
            </w:r>
            <w:r>
              <w:rPr>
                <w:rFonts w:eastAsia="Iosevka Term SS03"/>
                <w:color w:val="000000" w:themeColor="text1"/>
                <w:sz w:val="24"/>
                <w:szCs w:val="24"/>
              </w:rPr>
              <w:t xml:space="preserve">»</w:t>
            </w:r>
            <w:r>
              <w:rPr>
                <w:rFonts w:eastAsia="Times New Roman"/>
                <w:sz w:val="24"/>
                <w:szCs w:val="24"/>
              </w:rPr>
              <w:t xml:space="preserve"> </w:t>
            </w:r>
            <w:r>
              <w:rPr>
                <w:bCs/>
                <w:sz w:val="24"/>
                <w:szCs w:val="24"/>
                <w:highlight w:val="white"/>
              </w:rPr>
              <w:t xml:space="preserve">(Приложение №5</w:t>
            </w:r>
            <w:r>
              <w:rPr>
                <w:bCs/>
                <w:sz w:val="24"/>
                <w:szCs w:val="24"/>
                <w:highlight w:val="white"/>
              </w:rPr>
              <w:t xml:space="preserve"> к ТТ)</w:t>
            </w:r>
            <w:r>
              <w:rPr>
                <w:rFonts w:eastAsia="Iosevka Term SS03"/>
                <w:color w:val="000000" w:themeColor="text1"/>
                <w:sz w:val="24"/>
                <w:szCs w:val="24"/>
              </w:rPr>
              <w:t xml:space="preserve">.</w:t>
            </w:r>
            <w:r>
              <w:rPr>
                <w:sz w:val="24"/>
                <w:szCs w:val="24"/>
              </w:rPr>
            </w:r>
            <w:r>
              <w:rPr>
                <w:sz w:val="24"/>
                <w:szCs w:val="24"/>
              </w:rPr>
            </w:r>
          </w:p>
          <w:p>
            <w:pPr>
              <w:ind w:left="0" w:right="0" w:firstLine="567"/>
              <w:jc w:val="both"/>
              <w:spacing w:line="276" w:lineRule="auto"/>
              <w:rPr>
                <w:spacing w:val="-6"/>
                <w:sz w:val="24"/>
                <w:szCs w:val="24"/>
                <w:highlight w:val="white"/>
              </w:rPr>
            </w:pPr>
            <w:r>
              <w:rPr>
                <w:sz w:val="24"/>
                <w:szCs w:val="24"/>
                <w:highlight w:val="white"/>
              </w:rPr>
              <w:t xml:space="preserve">Подрядчик обязан оформить и передать Заказчику исполнительную и сдаточную документацию в следующем составе, но не ограничиваясь</w:t>
            </w:r>
            <w:r>
              <w:rPr>
                <w:sz w:val="24"/>
                <w:szCs w:val="24"/>
                <w:highlight w:val="white"/>
              </w:rPr>
              <w:t xml:space="preserve">:</w:t>
            </w:r>
            <w:r>
              <w:rPr>
                <w:sz w:val="24"/>
                <w:szCs w:val="24"/>
                <w:highlight w:val="white"/>
              </w:rPr>
              <w:t xml:space="preserve">          </w:t>
            </w:r>
            <w:r>
              <w:rPr>
                <w:spacing w:val="-6"/>
                <w:sz w:val="24"/>
                <w:szCs w:val="24"/>
                <w:highlight w:val="white"/>
              </w:rPr>
              <w:t xml:space="preserve">         </w:t>
            </w:r>
            <w:r>
              <w:rPr>
                <w:spacing w:val="-6"/>
                <w:sz w:val="24"/>
                <w:szCs w:val="24"/>
                <w:highlight w:val="white"/>
              </w:rPr>
            </w:r>
            <w:r>
              <w:rPr>
                <w:spacing w:val="-6"/>
                <w:sz w:val="24"/>
                <w:szCs w:val="24"/>
                <w:highlight w:val="white"/>
              </w:rPr>
            </w:r>
          </w:p>
          <w:p>
            <w:pPr>
              <w:pStyle w:val="858"/>
              <w:ind w:firstLine="709"/>
              <w:jc w:val="both"/>
              <w:spacing w:line="276" w:lineRule="auto"/>
              <w:rPr>
                <w:rFonts w:ascii="Times New Roman" w:hAnsi="Times New Roman" w:eastAsia="Times New Roman" w:cs="Times New Roman"/>
                <w:sz w:val="24"/>
                <w:szCs w:val="24"/>
                <w:highlight w:val="white"/>
              </w:rPr>
            </w:pPr>
            <w:r>
              <w:rPr>
                <w:rFonts w:ascii="Times New Roman" w:hAnsi="Times New Roman" w:eastAsia="Times New Roman" w:cs="Times New Roman"/>
                <w:sz w:val="24"/>
                <w:szCs w:val="24"/>
                <w:highlight w:val="white"/>
              </w:rPr>
              <w:t xml:space="preserve">- исполнительные схемы и профили инженерных сетей и подземных сооружений;</w:t>
            </w:r>
            <w:r>
              <w:rPr>
                <w:rFonts w:ascii="Times New Roman" w:hAnsi="Times New Roman" w:eastAsia="Times New Roman" w:cs="Times New Roman"/>
                <w:sz w:val="24"/>
                <w:szCs w:val="24"/>
                <w:highlight w:val="white"/>
              </w:rPr>
            </w:r>
            <w:r>
              <w:rPr>
                <w:rFonts w:ascii="Times New Roman" w:hAnsi="Times New Roman" w:eastAsia="Times New Roman" w:cs="Times New Roman"/>
                <w:sz w:val="24"/>
                <w:szCs w:val="24"/>
                <w:highlight w:val="white"/>
              </w:rPr>
            </w:r>
          </w:p>
          <w:p>
            <w:pPr>
              <w:pStyle w:val="858"/>
              <w:ind w:firstLine="709"/>
              <w:jc w:val="both"/>
              <w:spacing w:line="276" w:lineRule="auto"/>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white"/>
              </w:rPr>
              <w:t xml:space="preserve">- общий журнал работ</w:t>
            </w:r>
            <w:r>
              <w:rPr>
                <w:rFonts w:ascii="Times New Roman" w:hAnsi="Times New Roman" w:eastAsia="Times New Roman" w:cs="Times New Roman"/>
                <w:sz w:val="24"/>
                <w:szCs w:val="24"/>
                <w:highlight w:val="white"/>
              </w:rPr>
              <w:t xml:space="preserve">, </w:t>
            </w:r>
            <w:r>
              <w:rPr>
                <w:rFonts w:ascii="Times New Roman" w:hAnsi="Times New Roman" w:eastAsia="Times New Roman" w:cs="Times New Roman"/>
                <w:sz w:val="24"/>
                <w:szCs w:val="24"/>
                <w:highlight w:val="white"/>
              </w:rPr>
              <w:t xml:space="preserve">с</w:t>
            </w:r>
            <w:r>
              <w:rPr>
                <w:rFonts w:ascii="Times New Roman" w:hAnsi="Times New Roman" w:eastAsia="Times New Roman" w:cs="Times New Roman"/>
                <w:sz w:val="24"/>
                <w:szCs w:val="24"/>
                <w:highlight w:val="white"/>
              </w:rPr>
              <w:t xml:space="preserve">пециальные журналы работ (соответствующие видам выполняемых работ, журналы входного и операционного контроля качества);</w:t>
            </w:r>
            <w:r>
              <w:rPr>
                <w:rFonts w:ascii="Times New Roman" w:hAnsi="Times New Roman" w:eastAsia="Times New Roman" w:cs="Times New Roman"/>
                <w:sz w:val="24"/>
                <w:szCs w:val="24"/>
                <w:highlight w:val="none"/>
              </w:rPr>
            </w:r>
            <w:r>
              <w:rPr>
                <w:rFonts w:ascii="Times New Roman" w:hAnsi="Times New Roman" w:eastAsia="Times New Roman" w:cs="Times New Roman"/>
                <w:sz w:val="24"/>
                <w:szCs w:val="24"/>
                <w:highlight w:val="none"/>
              </w:rPr>
            </w:r>
          </w:p>
          <w:p>
            <w:pPr>
              <w:pStyle w:val="858"/>
              <w:ind w:left="0" w:firstLine="0"/>
              <w:jc w:val="both"/>
              <w:spacing w:line="276" w:lineRule="auto"/>
              <w:rPr>
                <w:rFonts w:ascii="Times New Roman" w:hAnsi="Times New Roman" w:eastAsia="Times New Roman" w:cs="Times New Roman"/>
                <w:sz w:val="24"/>
                <w:szCs w:val="24"/>
                <w:highlight w:val="white"/>
              </w:rPr>
            </w:pPr>
            <w:r>
              <w:rPr>
                <w:rFonts w:ascii="Times New Roman" w:hAnsi="Times New Roman" w:eastAsia="Times New Roman" w:cs="Times New Roman"/>
                <w:sz w:val="24"/>
                <w:szCs w:val="24"/>
                <w:highlight w:val="white"/>
              </w:rPr>
              <w:t xml:space="preserve">           - </w:t>
            </w:r>
            <w:r>
              <w:rPr>
                <w:rFonts w:ascii="Times New Roman" w:hAnsi="Times New Roman" w:eastAsia="Times New Roman" w:cs="Times New Roman"/>
                <w:sz w:val="24"/>
                <w:szCs w:val="24"/>
                <w:highlight w:val="white"/>
              </w:rPr>
              <w:t xml:space="preserve">фото/видео материалы (подтверждающие выполнение работ);</w:t>
            </w:r>
            <w:r>
              <w:rPr>
                <w:rFonts w:ascii="Times New Roman" w:hAnsi="Times New Roman" w:eastAsia="Times New Roman" w:cs="Times New Roman"/>
                <w:sz w:val="24"/>
                <w:szCs w:val="24"/>
                <w:highlight w:val="white"/>
              </w:rPr>
            </w:r>
            <w:r>
              <w:rPr>
                <w:rFonts w:ascii="Times New Roman" w:hAnsi="Times New Roman" w:eastAsia="Times New Roman" w:cs="Times New Roman"/>
                <w:sz w:val="24"/>
                <w:szCs w:val="24"/>
                <w:highlight w:val="white"/>
              </w:rPr>
            </w:r>
          </w:p>
          <w:p>
            <w:pPr>
              <w:pStyle w:val="858"/>
              <w:ind w:firstLine="709"/>
              <w:jc w:val="both"/>
              <w:spacing w:line="276" w:lineRule="auto"/>
              <w:rPr>
                <w:rFonts w:ascii="Times New Roman" w:hAnsi="Times New Roman" w:eastAsia="Times New Roman" w:cs="Times New Roman"/>
                <w:sz w:val="24"/>
                <w:szCs w:val="24"/>
                <w:highlight w:val="white"/>
              </w:rPr>
            </w:pPr>
            <w:r>
              <w:rPr>
                <w:rFonts w:ascii="Times New Roman" w:hAnsi="Times New Roman" w:eastAsia="Times New Roman" w:cs="Times New Roman"/>
                <w:sz w:val="24"/>
                <w:szCs w:val="24"/>
                <w:highlight w:val="white"/>
              </w:rPr>
              <w:t xml:space="preserve">- акты освидетельствования скрытых работ;</w:t>
            </w:r>
            <w:r>
              <w:rPr>
                <w:rFonts w:ascii="Times New Roman" w:hAnsi="Times New Roman" w:eastAsia="Times New Roman" w:cs="Times New Roman"/>
                <w:sz w:val="24"/>
                <w:szCs w:val="24"/>
                <w:highlight w:val="white"/>
              </w:rPr>
            </w:r>
            <w:r>
              <w:rPr>
                <w:rFonts w:ascii="Times New Roman" w:hAnsi="Times New Roman" w:eastAsia="Times New Roman" w:cs="Times New Roman"/>
                <w:sz w:val="24"/>
                <w:szCs w:val="24"/>
                <w:highlight w:val="white"/>
              </w:rPr>
            </w:r>
          </w:p>
          <w:p>
            <w:pPr>
              <w:pStyle w:val="858"/>
              <w:ind w:firstLine="709"/>
              <w:jc w:val="both"/>
              <w:spacing w:line="276" w:lineRule="auto"/>
              <w:rPr>
                <w:rFonts w:ascii="Times New Roman" w:hAnsi="Times New Roman" w:eastAsia="Times New Roman" w:cs="Times New Roman"/>
                <w:sz w:val="24"/>
                <w:szCs w:val="24"/>
                <w:highlight w:val="white"/>
              </w:rPr>
            </w:pPr>
            <w:r>
              <w:rPr>
                <w:rFonts w:ascii="Times New Roman" w:hAnsi="Times New Roman" w:eastAsia="Times New Roman" w:cs="Times New Roman"/>
                <w:sz w:val="24"/>
                <w:szCs w:val="24"/>
                <w:highlight w:val="white"/>
              </w:rPr>
              <w:t xml:space="preserve">-</w:t>
            </w:r>
            <w:r>
              <w:rPr>
                <w:rFonts w:ascii="Times New Roman" w:hAnsi="Times New Roman" w:eastAsia="Times New Roman" w:cs="Times New Roman"/>
                <w:sz w:val="24"/>
                <w:szCs w:val="24"/>
                <w:highlight w:val="white"/>
              </w:rPr>
              <w:t xml:space="preserve"> отчетные документы, подтверждающие утилизацию мусора, образовавшегося при производстве работ (договоров со сторонними организациями на оказание услуг по утилизации мусора, талонов или иных действующих в муниципальном образовании документов на утилизацию);</w:t>
            </w:r>
            <w:r>
              <w:rPr>
                <w:rFonts w:ascii="Times New Roman" w:hAnsi="Times New Roman" w:eastAsia="Times New Roman" w:cs="Times New Roman"/>
                <w:sz w:val="24"/>
                <w:szCs w:val="24"/>
                <w:highlight w:val="white"/>
              </w:rPr>
            </w:r>
            <w:r>
              <w:rPr>
                <w:rFonts w:ascii="Times New Roman" w:hAnsi="Times New Roman" w:eastAsia="Times New Roman" w:cs="Times New Roman"/>
                <w:sz w:val="24"/>
                <w:szCs w:val="24"/>
                <w:highlight w:val="white"/>
              </w:rPr>
            </w:r>
          </w:p>
          <w:p>
            <w:pPr>
              <w:pStyle w:val="858"/>
              <w:ind w:firstLine="709"/>
              <w:jc w:val="both"/>
              <w:spacing w:line="276" w:lineRule="auto"/>
              <w:rPr>
                <w:rFonts w:ascii="Times New Roman" w:hAnsi="Times New Roman" w:eastAsia="Times New Roman" w:cs="Times New Roman"/>
                <w:sz w:val="24"/>
                <w:szCs w:val="24"/>
                <w:highlight w:val="white"/>
              </w:rPr>
            </w:pPr>
            <w:r>
              <w:rPr>
                <w:rFonts w:ascii="Times New Roman" w:hAnsi="Times New Roman" w:eastAsia="Times New Roman" w:cs="Times New Roman"/>
                <w:sz w:val="24"/>
                <w:szCs w:val="24"/>
                <w:highlight w:val="white"/>
              </w:rPr>
              <w:t xml:space="preserve">- комиссионные акты входного контроля закупаемых Подрядчиком материалов (в произвольной форме);  </w:t>
            </w:r>
            <w:r>
              <w:rPr>
                <w:rFonts w:ascii="Times New Roman" w:hAnsi="Times New Roman" w:eastAsia="Times New Roman" w:cs="Times New Roman"/>
                <w:sz w:val="24"/>
                <w:szCs w:val="24"/>
                <w:highlight w:val="white"/>
              </w:rPr>
            </w:r>
            <w:r>
              <w:rPr>
                <w:rFonts w:ascii="Times New Roman" w:hAnsi="Times New Roman" w:eastAsia="Times New Roman" w:cs="Times New Roman"/>
                <w:sz w:val="24"/>
                <w:szCs w:val="24"/>
                <w:highlight w:val="white"/>
              </w:rPr>
            </w:r>
          </w:p>
          <w:p>
            <w:pPr>
              <w:pStyle w:val="858"/>
              <w:ind w:firstLine="709"/>
              <w:jc w:val="both"/>
              <w:spacing w:line="276" w:lineRule="auto"/>
              <w:rPr>
                <w:rFonts w:ascii="Times New Roman" w:hAnsi="Times New Roman" w:eastAsia="Times New Roman" w:cs="Times New Roman"/>
                <w:sz w:val="24"/>
                <w:szCs w:val="24"/>
                <w:highlight w:val="white"/>
              </w:rPr>
            </w:pPr>
            <w:r>
              <w:rPr>
                <w:rFonts w:ascii="Times New Roman" w:hAnsi="Times New Roman" w:eastAsia="Times New Roman" w:cs="Times New Roman"/>
                <w:sz w:val="24"/>
                <w:szCs w:val="24"/>
                <w:highlight w:val="white"/>
              </w:rPr>
              <w:t xml:space="preserve">-  сертификаты, подтверждающие качество и соответствие требованиям конструкторской и нормативно-технической документации материалов (форма завода – изготовителя);    </w:t>
            </w:r>
            <w:r>
              <w:rPr>
                <w:rFonts w:ascii="Times New Roman" w:hAnsi="Times New Roman" w:eastAsia="Times New Roman" w:cs="Times New Roman"/>
                <w:sz w:val="24"/>
                <w:szCs w:val="24"/>
                <w:highlight w:val="white"/>
              </w:rPr>
            </w:r>
            <w:r>
              <w:rPr>
                <w:rFonts w:ascii="Times New Roman" w:hAnsi="Times New Roman" w:eastAsia="Times New Roman" w:cs="Times New Roman"/>
                <w:sz w:val="24"/>
                <w:szCs w:val="24"/>
                <w:highlight w:val="white"/>
              </w:rPr>
            </w:r>
          </w:p>
          <w:p>
            <w:pPr>
              <w:pStyle w:val="858"/>
              <w:ind w:firstLine="709"/>
              <w:jc w:val="both"/>
              <w:spacing w:line="276" w:lineRule="auto"/>
              <w:rPr>
                <w:rFonts w:ascii="Times New Roman" w:hAnsi="Times New Roman" w:eastAsia="Times New Roman" w:cs="Times New Roman"/>
                <w:sz w:val="24"/>
                <w:szCs w:val="24"/>
                <w:highlight w:val="white"/>
              </w:rPr>
            </w:pPr>
            <w:r>
              <w:rPr>
                <w:rFonts w:ascii="Times New Roman" w:hAnsi="Times New Roman" w:eastAsia="Times New Roman" w:cs="Times New Roman"/>
                <w:sz w:val="24"/>
                <w:szCs w:val="24"/>
                <w:highlight w:val="white"/>
              </w:rPr>
              <w:t xml:space="preserve">- документы, заверенные бухгалтером: копии платежных поручений, счета к ним и счета-фактуры, подтверждающие факт оплаты материалов, закупаемые Подря</w:t>
            </w:r>
            <w:r>
              <w:rPr>
                <w:rFonts w:ascii="Times New Roman" w:hAnsi="Times New Roman" w:eastAsia="Times New Roman" w:cs="Times New Roman"/>
                <w:sz w:val="24"/>
                <w:szCs w:val="24"/>
                <w:highlight w:val="white"/>
              </w:rPr>
              <w:t xml:space="preserve">дчиком для использования в процессе ремонта;   </w:t>
            </w:r>
            <w:r>
              <w:rPr>
                <w:rFonts w:ascii="Times New Roman" w:hAnsi="Times New Roman" w:eastAsia="Times New Roman" w:cs="Times New Roman"/>
                <w:sz w:val="24"/>
                <w:szCs w:val="24"/>
                <w:highlight w:val="white"/>
              </w:rPr>
            </w:r>
            <w:r>
              <w:rPr>
                <w:rFonts w:ascii="Times New Roman" w:hAnsi="Times New Roman" w:eastAsia="Times New Roman" w:cs="Times New Roman"/>
                <w:sz w:val="24"/>
                <w:szCs w:val="24"/>
                <w:highlight w:val="white"/>
              </w:rPr>
            </w:r>
          </w:p>
          <w:p>
            <w:pPr>
              <w:pStyle w:val="858"/>
              <w:ind w:firstLine="709"/>
              <w:jc w:val="both"/>
              <w:spacing w:line="276" w:lineRule="auto"/>
              <w:rPr>
                <w:rFonts w:ascii="Times New Roman" w:hAnsi="Times New Roman" w:eastAsia="Times New Roman" w:cs="Times New Roman"/>
                <w:sz w:val="24"/>
                <w:szCs w:val="24"/>
                <w:highlight w:val="white"/>
              </w:rPr>
            </w:pPr>
            <w:r>
              <w:rPr>
                <w:rFonts w:ascii="Times New Roman" w:hAnsi="Times New Roman" w:eastAsia="Times New Roman" w:cs="Times New Roman"/>
                <w:sz w:val="24"/>
                <w:szCs w:val="24"/>
                <w:highlight w:val="white"/>
              </w:rPr>
              <w:t xml:space="preserve">- акт о приемке объекта;    </w:t>
            </w:r>
            <w:r>
              <w:rPr>
                <w:rFonts w:ascii="Times New Roman" w:hAnsi="Times New Roman" w:eastAsia="Times New Roman" w:cs="Times New Roman"/>
                <w:sz w:val="24"/>
                <w:szCs w:val="24"/>
                <w:highlight w:val="white"/>
              </w:rPr>
            </w:r>
            <w:r>
              <w:rPr>
                <w:rFonts w:ascii="Times New Roman" w:hAnsi="Times New Roman" w:eastAsia="Times New Roman" w:cs="Times New Roman"/>
                <w:sz w:val="24"/>
                <w:szCs w:val="24"/>
                <w:highlight w:val="white"/>
              </w:rPr>
            </w:r>
          </w:p>
          <w:p>
            <w:pPr>
              <w:pStyle w:val="858"/>
              <w:ind w:firstLine="709"/>
              <w:jc w:val="both"/>
              <w:spacing w:line="276" w:lineRule="auto"/>
              <w:rPr>
                <w:rFonts w:ascii="Times New Roman" w:hAnsi="Times New Roman" w:eastAsia="Times New Roman" w:cs="Times New Roman"/>
                <w:sz w:val="24"/>
                <w:szCs w:val="24"/>
                <w:highlight w:val="white"/>
              </w:rPr>
            </w:pPr>
            <w:r>
              <w:rPr>
                <w:rFonts w:ascii="Times New Roman" w:hAnsi="Times New Roman" w:eastAsia="Times New Roman" w:cs="Times New Roman"/>
                <w:sz w:val="24"/>
                <w:szCs w:val="24"/>
                <w:highlight w:val="white"/>
              </w:rPr>
              <w:t xml:space="preserve">- ведомость выполненных работ;</w:t>
            </w:r>
            <w:r>
              <w:rPr>
                <w:rFonts w:ascii="Times New Roman" w:hAnsi="Times New Roman" w:eastAsia="Times New Roman" w:cs="Times New Roman"/>
                <w:sz w:val="24"/>
                <w:szCs w:val="24"/>
                <w:highlight w:val="white"/>
              </w:rPr>
            </w:r>
            <w:r>
              <w:rPr>
                <w:rFonts w:ascii="Times New Roman" w:hAnsi="Times New Roman" w:eastAsia="Times New Roman" w:cs="Times New Roman"/>
                <w:sz w:val="24"/>
                <w:szCs w:val="24"/>
                <w:highlight w:val="white"/>
              </w:rPr>
            </w:r>
          </w:p>
          <w:p>
            <w:pPr>
              <w:ind w:left="142" w:right="0" w:firstLine="0"/>
              <w:jc w:val="both"/>
              <w:spacing w:line="276" w:lineRule="auto"/>
              <w:rPr>
                <w:spacing w:val="-6"/>
                <w:sz w:val="24"/>
                <w:szCs w:val="24"/>
                <w:highlight w:val="white"/>
              </w:rPr>
            </w:pPr>
            <w:r>
              <w:rPr>
                <w:rFonts w:ascii="Times New Roman" w:hAnsi="Times New Roman" w:eastAsia="Times New Roman" w:cs="Times New Roman"/>
                <w:sz w:val="24"/>
                <w:szCs w:val="24"/>
                <w:highlight w:val="white"/>
              </w:rPr>
              <w:t xml:space="preserve">другие документы по усмотрению Сторон с учетом специфики Работ.      </w:t>
            </w:r>
            <w:r>
              <w:rPr>
                <w:spacing w:val="-6"/>
                <w:sz w:val="24"/>
                <w:szCs w:val="24"/>
                <w:highlight w:val="white"/>
              </w:rPr>
              <w:t xml:space="preserve"> </w:t>
            </w:r>
            <w:r>
              <w:rPr>
                <w:spacing w:val="-6"/>
                <w:sz w:val="24"/>
                <w:szCs w:val="24"/>
                <w:highlight w:val="white"/>
              </w:rPr>
            </w:r>
            <w:r>
              <w:rPr>
                <w:spacing w:val="-6"/>
                <w:sz w:val="24"/>
                <w:szCs w:val="24"/>
                <w:highlight w:val="white"/>
              </w:rPr>
            </w:r>
          </w:p>
          <w:p>
            <w:pPr>
              <w:ind w:left="0" w:right="0" w:firstLine="567"/>
              <w:jc w:val="both"/>
              <w:spacing w:line="276" w:lineRule="auto"/>
              <w:rPr>
                <w:spacing w:val="-6"/>
                <w:sz w:val="24"/>
                <w:szCs w:val="24"/>
                <w:highlight w:val="white"/>
              </w:rPr>
            </w:pPr>
            <w:r>
              <w:rPr>
                <w:spacing w:val="-6"/>
                <w:sz w:val="24"/>
                <w:szCs w:val="24"/>
                <w:highlight w:val="white"/>
              </w:rPr>
              <w:t xml:space="preserve">      Более подробно требования к оформлению документации  указаны в проекте договора подряда (в том числе в разделе № 2,4), который включен в состав Документации о закуп</w:t>
            </w:r>
            <w:r>
              <w:rPr>
                <w:spacing w:val="-6"/>
                <w:sz w:val="24"/>
                <w:szCs w:val="24"/>
                <w:highlight w:val="white"/>
              </w:rPr>
              <w:t xml:space="preserve">ке.   </w:t>
            </w:r>
            <w:r>
              <w:rPr>
                <w:spacing w:val="-6"/>
                <w:sz w:val="24"/>
                <w:szCs w:val="24"/>
                <w:highlight w:val="white"/>
              </w:rPr>
            </w:r>
            <w:r>
              <w:rPr>
                <w:spacing w:val="-6"/>
                <w:sz w:val="24"/>
                <w:szCs w:val="24"/>
                <w:highlight w:val="white"/>
              </w:rPr>
            </w:r>
          </w:p>
        </w:tc>
        <w:tc>
          <w:tcPr>
            <w:tcW w:w="3402" w:type="dxa"/>
            <w:vMerge w:val="continue"/>
            <w:textDirection w:val="lrTb"/>
            <w:noWrap w:val="false"/>
          </w:tcPr>
          <w:p>
            <w:r/>
            <w:r/>
          </w:p>
        </w:tc>
        <w:tc>
          <w:tcPr>
            <w:tcW w:w="2407" w:type="dxa"/>
            <w:vMerge w:val="continue"/>
            <w:textDirection w:val="lrTb"/>
            <w:noWrap w:val="false"/>
          </w:tcPr>
          <w:p>
            <w:r/>
            <w:r/>
          </w:p>
        </w:tc>
      </w:tr>
      <w:tr>
        <w:tblPrEx/>
        <w:trPr/>
        <w:tc>
          <w:tcPr>
            <w:tcW w:w="680" w:type="dxa"/>
            <w:textDirection w:val="lrTb"/>
            <w:noWrap w:val="false"/>
          </w:tcPr>
          <w:p>
            <w:pPr>
              <w:pStyle w:val="1024"/>
              <w:numPr>
                <w:ilvl w:val="0"/>
                <w:numId w:val="6"/>
              </w:numPr>
              <w:jc w:val="center"/>
              <w:spacing w:before="60" w:after="60" w:line="276" w:lineRule="auto"/>
              <w:rPr>
                <w:sz w:val="20"/>
                <w:szCs w:val="20"/>
              </w:rPr>
            </w:pPr>
            <w:r>
              <w:rPr>
                <w:sz w:val="20"/>
                <w:szCs w:val="20"/>
              </w:rPr>
              <w:t xml:space="preserve"> </w:t>
            </w:r>
            <w:r>
              <w:rPr>
                <w:sz w:val="20"/>
                <w:szCs w:val="20"/>
              </w:rPr>
            </w:r>
            <w:r>
              <w:rPr>
                <w:sz w:val="20"/>
                <w:szCs w:val="20"/>
              </w:rPr>
            </w:r>
          </w:p>
        </w:tc>
        <w:tc>
          <w:tcPr>
            <w:gridSpan w:val="2"/>
            <w:tcW w:w="8645" w:type="dxa"/>
            <w:textDirection w:val="lrTb"/>
            <w:noWrap w:val="false"/>
          </w:tcPr>
          <w:p>
            <w:pPr>
              <w:spacing w:before="40" w:line="276" w:lineRule="auto"/>
              <w:rPr>
                <w:b/>
                <w:sz w:val="24"/>
                <w:szCs w:val="24"/>
              </w:rPr>
            </w:pPr>
            <w:r>
              <w:rPr>
                <w:b/>
                <w:sz w:val="24"/>
                <w:szCs w:val="24"/>
              </w:rPr>
              <w:t xml:space="preserve">Требования к соблюдению положений нормативной и иной обязательной для Подрядчика документации, определяемой видами работ (помимо указанных в других разделах </w:t>
            </w:r>
            <w:r>
              <w:rPr>
                <w:b/>
                <w:sz w:val="24"/>
                <w:szCs w:val="24"/>
              </w:rPr>
              <w:t xml:space="preserve">ТТ</w:t>
            </w:r>
            <w:r>
              <w:rPr>
                <w:b/>
                <w:sz w:val="24"/>
                <w:szCs w:val="24"/>
              </w:rPr>
              <w:t xml:space="preserve">)</w:t>
            </w:r>
            <w:r>
              <w:rPr>
                <w:b/>
                <w:sz w:val="24"/>
                <w:szCs w:val="24"/>
              </w:rPr>
            </w:r>
            <w:r>
              <w:rPr>
                <w:b/>
                <w:sz w:val="24"/>
                <w:szCs w:val="24"/>
              </w:rPr>
            </w:r>
          </w:p>
          <w:p>
            <w:pPr>
              <w:jc w:val="both"/>
              <w:spacing w:before="40" w:line="276" w:lineRule="auto"/>
              <w:rPr>
                <w:b/>
                <w:sz w:val="24"/>
                <w:szCs w:val="24"/>
              </w:rPr>
            </w:pPr>
            <w:r>
              <w:rPr>
                <w:sz w:val="24"/>
                <w:szCs w:val="24"/>
              </w:rPr>
              <w:t xml:space="preserve">П</w:t>
            </w:r>
            <w:r>
              <w:rPr>
                <w:i/>
                <w:iCs/>
                <w:sz w:val="24"/>
                <w:szCs w:val="24"/>
              </w:rPr>
              <w:t xml:space="preserve">одробно указаны в проекте Договора подряда </w:t>
            </w:r>
            <w:r>
              <w:rPr>
                <w:i/>
                <w:iCs/>
                <w:sz w:val="24"/>
                <w:szCs w:val="24"/>
              </w:rPr>
              <w:t xml:space="preserve">в том числе в разделе №2, Техническом задании), который включен в состав Документации о закупке.</w:t>
            </w:r>
            <w:r>
              <w:rPr>
                <w:b/>
                <w:sz w:val="24"/>
                <w:szCs w:val="24"/>
              </w:rPr>
            </w:r>
            <w:r>
              <w:rPr>
                <w:b/>
                <w:sz w:val="24"/>
                <w:szCs w:val="24"/>
              </w:rPr>
            </w:r>
          </w:p>
        </w:tc>
        <w:tc>
          <w:tcPr>
            <w:tcW w:w="3402" w:type="dxa"/>
            <w:vMerge w:val="continue"/>
            <w:textDirection w:val="lrTb"/>
            <w:noWrap w:val="false"/>
          </w:tcPr>
          <w:p>
            <w:r/>
            <w:r/>
          </w:p>
        </w:tc>
        <w:tc>
          <w:tcPr>
            <w:tcW w:w="2407" w:type="dxa"/>
            <w:vMerge w:val="continue"/>
            <w:textDirection w:val="lrTb"/>
            <w:noWrap w:val="false"/>
          </w:tcPr>
          <w:p>
            <w:r/>
            <w:r/>
          </w:p>
        </w:tc>
      </w:tr>
      <w:tr>
        <w:tblPrEx/>
        <w:trPr/>
        <w:tc>
          <w:tcPr>
            <w:tcW w:w="680" w:type="dxa"/>
            <w:textDirection w:val="lrTb"/>
            <w:noWrap w:val="false"/>
          </w:tcPr>
          <w:p>
            <w:pPr>
              <w:pStyle w:val="1024"/>
              <w:numPr>
                <w:ilvl w:val="0"/>
                <w:numId w:val="6"/>
              </w:numPr>
              <w:jc w:val="center"/>
              <w:spacing w:before="60" w:after="60" w:line="276" w:lineRule="auto"/>
              <w:rPr>
                <w:sz w:val="20"/>
                <w:szCs w:val="20"/>
              </w:rPr>
            </w:pPr>
            <w:r>
              <w:rPr>
                <w:sz w:val="20"/>
                <w:szCs w:val="20"/>
              </w:rPr>
            </w:r>
            <w:r>
              <w:rPr>
                <w:sz w:val="20"/>
                <w:szCs w:val="20"/>
              </w:rPr>
            </w:r>
            <w:r>
              <w:rPr>
                <w:sz w:val="20"/>
                <w:szCs w:val="20"/>
              </w:rPr>
            </w:r>
          </w:p>
        </w:tc>
        <w:tc>
          <w:tcPr>
            <w:gridSpan w:val="2"/>
            <w:tcW w:w="8645" w:type="dxa"/>
            <w:textDirection w:val="lrTb"/>
            <w:noWrap w:val="false"/>
          </w:tcPr>
          <w:p>
            <w:pPr>
              <w:jc w:val="both"/>
              <w:spacing w:before="20" w:line="276" w:lineRule="auto"/>
              <w:rPr>
                <w:b/>
                <w:bCs/>
                <w:sz w:val="24"/>
                <w:szCs w:val="24"/>
                <w:highlight w:val="none"/>
              </w:rPr>
            </w:pPr>
            <w:r>
              <w:rPr>
                <w:b/>
                <w:sz w:val="24"/>
                <w:szCs w:val="24"/>
              </w:rPr>
              <w:t xml:space="preserve">Требования к ответственности и гарантиям подрядчика</w:t>
            </w:r>
            <w:r>
              <w:rPr>
                <w:b/>
                <w:bCs/>
                <w:sz w:val="24"/>
                <w:szCs w:val="24"/>
                <w:highlight w:val="none"/>
              </w:rPr>
            </w:r>
            <w:r>
              <w:rPr>
                <w:b/>
                <w:bCs/>
                <w:sz w:val="24"/>
                <w:szCs w:val="24"/>
                <w:highlight w:val="none"/>
              </w:rPr>
            </w:r>
          </w:p>
          <w:p>
            <w:pPr>
              <w:jc w:val="both"/>
              <w:spacing w:line="276" w:lineRule="auto"/>
              <w:rPr>
                <w:sz w:val="24"/>
                <w:szCs w:val="24"/>
              </w:rPr>
            </w:pPr>
            <w:r>
              <w:rPr>
                <w:rFonts w:eastAsia="Courier New"/>
                <w:i/>
                <w:color w:val="000000"/>
                <w:sz w:val="24"/>
                <w:szCs w:val="24"/>
                <w:lang w:bidi="ru-RU"/>
              </w:rPr>
              <w:t xml:space="preserve">Подробно требования к сроку и объему предоставления гарантий указаны в проекте договора подряда </w:t>
            </w:r>
            <w:r>
              <w:rPr>
                <w:rFonts w:eastAsia="Courier New"/>
                <w:i/>
                <w:iCs/>
                <w:color w:val="000000"/>
                <w:sz w:val="24"/>
                <w:szCs w:val="24"/>
                <w:lang w:bidi="ru-RU"/>
              </w:rPr>
              <w:t xml:space="preserve">(в том числе в разделах №6 и №7</w:t>
            </w:r>
            <w:r>
              <w:rPr>
                <w:rFonts w:eastAsia="Courier New"/>
                <w:i/>
                <w:color w:val="000000"/>
                <w:sz w:val="24"/>
                <w:szCs w:val="24"/>
                <w:lang w:bidi="ru-RU"/>
              </w:rPr>
              <w:t xml:space="preserve">), который включен в состав Документации о закупке.</w:t>
            </w:r>
            <w:r>
              <w:rPr>
                <w:sz w:val="24"/>
                <w:szCs w:val="24"/>
              </w:rPr>
            </w:r>
            <w:r>
              <w:rPr>
                <w:sz w:val="24"/>
                <w:szCs w:val="24"/>
              </w:rPr>
            </w:r>
          </w:p>
        </w:tc>
        <w:tc>
          <w:tcPr>
            <w:tcW w:w="3402" w:type="dxa"/>
            <w:vMerge w:val="continue"/>
            <w:textDirection w:val="lrTb"/>
            <w:noWrap w:val="false"/>
          </w:tcPr>
          <w:p>
            <w:r/>
            <w:r/>
          </w:p>
        </w:tc>
        <w:tc>
          <w:tcPr>
            <w:tcW w:w="2407" w:type="dxa"/>
            <w:vMerge w:val="continue"/>
            <w:textDirection w:val="lrTb"/>
            <w:noWrap w:val="false"/>
          </w:tcPr>
          <w:p>
            <w:r/>
            <w:r/>
          </w:p>
        </w:tc>
      </w:tr>
      <w:tr>
        <w:tblPrEx/>
        <w:trPr/>
        <w:tc>
          <w:tcPr>
            <w:tcW w:w="680" w:type="dxa"/>
            <w:textDirection w:val="lrTb"/>
            <w:noWrap w:val="false"/>
          </w:tcPr>
          <w:p>
            <w:pPr>
              <w:pStyle w:val="1024"/>
              <w:numPr>
                <w:ilvl w:val="0"/>
                <w:numId w:val="6"/>
              </w:numPr>
              <w:jc w:val="center"/>
              <w:spacing w:before="60" w:after="60" w:line="276" w:lineRule="auto"/>
              <w:rPr>
                <w:sz w:val="20"/>
                <w:szCs w:val="20"/>
              </w:rPr>
            </w:pPr>
            <w:r>
              <w:rPr>
                <w:sz w:val="20"/>
                <w:szCs w:val="20"/>
              </w:rPr>
            </w:r>
            <w:r>
              <w:rPr>
                <w:sz w:val="20"/>
                <w:szCs w:val="20"/>
              </w:rPr>
            </w:r>
            <w:r>
              <w:rPr>
                <w:sz w:val="20"/>
                <w:szCs w:val="20"/>
              </w:rPr>
            </w:r>
          </w:p>
        </w:tc>
        <w:tc>
          <w:tcPr>
            <w:gridSpan w:val="2"/>
            <w:tcW w:w="8645" w:type="dxa"/>
            <w:textDirection w:val="lrTb"/>
            <w:noWrap w:val="false"/>
          </w:tcPr>
          <w:p>
            <w:pPr>
              <w:keepNext/>
              <w:spacing w:before="60" w:after="60" w:line="276" w:lineRule="auto"/>
              <w:rPr>
                <w:b/>
                <w:sz w:val="24"/>
                <w:szCs w:val="24"/>
              </w:rPr>
            </w:pPr>
            <w:r>
              <w:rPr>
                <w:b/>
                <w:sz w:val="24"/>
                <w:szCs w:val="24"/>
              </w:rPr>
              <w:t xml:space="preserve">Требования к подрядчику (и субподрядчикам) и его обязательствам, влияющим на исполнение договора</w:t>
            </w:r>
            <w:r>
              <w:rPr>
                <w:b/>
                <w:sz w:val="24"/>
                <w:szCs w:val="24"/>
              </w:rPr>
            </w:r>
            <w:r>
              <w:rPr>
                <w:b/>
                <w:sz w:val="24"/>
                <w:szCs w:val="24"/>
              </w:rPr>
            </w:r>
          </w:p>
          <w:p>
            <w:pPr>
              <w:jc w:val="both"/>
              <w:spacing w:line="276" w:lineRule="auto"/>
              <w:rPr>
                <w:sz w:val="24"/>
                <w:szCs w:val="24"/>
                <w:highlight w:val="none"/>
              </w:rPr>
            </w:pPr>
            <w:r>
              <w:rPr>
                <w:sz w:val="24"/>
                <w:szCs w:val="24"/>
              </w:rPr>
              <w:t xml:space="preserve">Требования к субподрядным организациям, привлекаемым к выполнению работ </w:t>
            </w:r>
            <w:r>
              <w:rPr>
                <w:sz w:val="24"/>
                <w:szCs w:val="24"/>
              </w:rPr>
              <w:t xml:space="preserve">подробно указаны в проекте Д</w:t>
            </w:r>
            <w:r>
              <w:rPr>
                <w:sz w:val="24"/>
                <w:szCs w:val="24"/>
              </w:rPr>
              <w:t xml:space="preserve">оговора подряда (в том числе в разделе № 2), который включен в состав Документации о закупке</w:t>
            </w:r>
            <w:r>
              <w:rPr>
                <w:sz w:val="24"/>
                <w:szCs w:val="24"/>
                <w:highlight w:val="none"/>
              </w:rPr>
            </w:r>
            <w:r>
              <w:rPr>
                <w:sz w:val="24"/>
                <w:szCs w:val="24"/>
                <w:highlight w:val="none"/>
              </w:rPr>
            </w:r>
          </w:p>
          <w:p>
            <w:pPr>
              <w:jc w:val="both"/>
              <w:spacing w:line="276" w:lineRule="auto"/>
              <w:rPr>
                <w:sz w:val="24"/>
                <w:szCs w:val="24"/>
              </w:rPr>
            </w:pPr>
            <w:r>
              <w:rPr>
                <w:sz w:val="24"/>
                <w:szCs w:val="24"/>
                <w:highlight w:val="none"/>
              </w:rPr>
            </w:r>
            <w:r>
              <w:rPr>
                <w:sz w:val="24"/>
                <w:szCs w:val="24"/>
              </w:rPr>
            </w:r>
            <w:r>
              <w:rPr>
                <w:sz w:val="24"/>
                <w:szCs w:val="24"/>
              </w:rPr>
            </w:r>
          </w:p>
        </w:tc>
        <w:tc>
          <w:tcPr>
            <w:tcW w:w="3402" w:type="dxa"/>
            <w:vMerge w:val="continue"/>
            <w:textDirection w:val="lrTb"/>
            <w:noWrap w:val="false"/>
          </w:tcPr>
          <w:p>
            <w:r/>
            <w:r/>
          </w:p>
        </w:tc>
        <w:tc>
          <w:tcPr>
            <w:tcW w:w="2407" w:type="dxa"/>
            <w:vMerge w:val="continue"/>
            <w:textDirection w:val="lrTb"/>
            <w:noWrap w:val="false"/>
          </w:tcPr>
          <w:p>
            <w:r/>
            <w:r/>
          </w:p>
        </w:tc>
      </w:tr>
      <w:tr>
        <w:tblPrEx/>
        <w:trPr/>
        <w:tc>
          <w:tcPr>
            <w:tcW w:w="680" w:type="dxa"/>
            <w:vMerge w:val="restart"/>
            <w:textDirection w:val="lrTb"/>
            <w:noWrap w:val="false"/>
          </w:tcPr>
          <w:p>
            <w:pPr>
              <w:pStyle w:val="1024"/>
              <w:numPr>
                <w:ilvl w:val="0"/>
                <w:numId w:val="6"/>
              </w:numPr>
              <w:jc w:val="center"/>
              <w:spacing w:before="60" w:after="60" w:line="276" w:lineRule="auto"/>
              <w:rPr>
                <w:sz w:val="20"/>
                <w:szCs w:val="20"/>
              </w:rPr>
            </w:pPr>
            <w:r>
              <w:rPr>
                <w:sz w:val="20"/>
                <w:szCs w:val="20"/>
              </w:rPr>
            </w:r>
            <w:r>
              <w:rPr>
                <w:sz w:val="20"/>
                <w:szCs w:val="20"/>
              </w:rPr>
            </w:r>
            <w:r>
              <w:rPr>
                <w:sz w:val="20"/>
                <w:szCs w:val="20"/>
              </w:rPr>
            </w:r>
          </w:p>
        </w:tc>
        <w:tc>
          <w:tcPr>
            <w:gridSpan w:val="2"/>
            <w:tcW w:w="8645" w:type="dxa"/>
            <w:vMerge w:val="restart"/>
            <w:textDirection w:val="lrTb"/>
            <w:noWrap w:val="false"/>
          </w:tcPr>
          <w:p>
            <w:pPr>
              <w:rPr>
                <w:rFonts w:ascii="Times New Roman" w:hAnsi="Times New Roman" w:eastAsia="Times New Roman" w:cs="Times New Roman"/>
                <w:b/>
                <w:bCs/>
                <w:sz w:val="24"/>
                <w:szCs w:val="24"/>
                <w:highlight w:val="none"/>
              </w:rPr>
            </w:pPr>
            <w:r>
              <w:rPr>
                <w:rFonts w:ascii="Times New Roman" w:hAnsi="Times New Roman" w:eastAsia="Times New Roman" w:cs="Times New Roman"/>
                <w:b/>
                <w:bCs/>
                <w:sz w:val="24"/>
                <w:szCs w:val="24"/>
                <w:highlight w:val="white"/>
              </w:rPr>
              <w:t xml:space="preserve">Требования к победителю</w:t>
            </w:r>
            <w:r>
              <w:rPr>
                <w:rFonts w:ascii="Times New Roman" w:hAnsi="Times New Roman" w:eastAsia="Times New Roman" w:cs="Times New Roman"/>
                <w:b/>
                <w:bCs/>
                <w:sz w:val="24"/>
                <w:szCs w:val="24"/>
                <w:highlight w:val="none"/>
              </w:rPr>
            </w:r>
            <w:r>
              <w:rPr>
                <w:rFonts w:ascii="Times New Roman" w:hAnsi="Times New Roman" w:eastAsia="Times New Roman" w:cs="Times New Roman"/>
                <w:b/>
                <w:bCs/>
                <w:sz w:val="24"/>
                <w:szCs w:val="24"/>
                <w:highlight w:val="none"/>
              </w:rPr>
            </w:r>
          </w:p>
        </w:tc>
        <w:tc>
          <w:tcPr>
            <w:tcW w:w="3402" w:type="dxa"/>
            <w:vMerge w:val="restart"/>
            <w:textDirection w:val="lrTb"/>
            <w:noWrap w:val="false"/>
          </w:tcPr>
          <w:p>
            <w:pPr>
              <w:rPr>
                <w:rFonts w:ascii="Times New Roman" w:hAnsi="Times New Roman" w:cs="Times New Roman"/>
                <w:b/>
                <w:bCs/>
                <w:sz w:val="24"/>
                <w:szCs w:val="24"/>
                <w:highlight w:val="white"/>
              </w:rPr>
            </w:pPr>
            <w:r>
              <w:rPr>
                <w:rFonts w:ascii="Times New Roman" w:hAnsi="Times New Roman" w:eastAsia="Times New Roman" w:cs="Times New Roman"/>
                <w:b/>
                <w:bCs/>
                <w:sz w:val="24"/>
                <w:szCs w:val="24"/>
                <w:highlight w:val="white"/>
              </w:rPr>
            </w:r>
            <w:r>
              <w:rPr>
                <w:rFonts w:ascii="Times New Roman" w:hAnsi="Times New Roman" w:cs="Times New Roman"/>
                <w:b/>
                <w:bCs/>
                <w:sz w:val="24"/>
                <w:szCs w:val="24"/>
                <w:highlight w:val="white"/>
              </w:rPr>
            </w:r>
            <w:r>
              <w:rPr>
                <w:rFonts w:ascii="Times New Roman" w:hAnsi="Times New Roman" w:cs="Times New Roman"/>
                <w:b/>
                <w:bCs/>
                <w:sz w:val="24"/>
                <w:szCs w:val="24"/>
                <w:highlight w:val="white"/>
              </w:rPr>
            </w:r>
          </w:p>
        </w:tc>
        <w:tc>
          <w:tcPr>
            <w:tcW w:w="2407" w:type="dxa"/>
            <w:vMerge w:val="restart"/>
            <w:textDirection w:val="lrTb"/>
            <w:noWrap w:val="false"/>
          </w:tcPr>
          <w:p>
            <w:r/>
            <w:r/>
          </w:p>
        </w:tc>
      </w:tr>
      <w:tr>
        <w:tblPrEx/>
        <w:trPr/>
        <w:tc>
          <w:tcPr>
            <w:gridSpan w:val="5"/>
            <w:tcW w:w="15134" w:type="dxa"/>
            <w:vMerge w:val="restart"/>
            <w:textDirection w:val="lrTb"/>
            <w:noWrap w:val="false"/>
          </w:tcPr>
          <w:p>
            <w:pPr>
              <w:jc w:val="both"/>
              <w:rPr>
                <w:rFonts w:ascii="Times New Roman" w:hAnsi="Times New Roman" w:cs="Times New Roman"/>
                <w:sz w:val="24"/>
                <w:szCs w:val="24"/>
                <w:highlight w:val="white"/>
              </w:rPr>
            </w:pPr>
            <w:r>
              <w:rPr>
                <w:rFonts w:ascii="Times New Roman" w:hAnsi="Times New Roman" w:eastAsia="Times New Roman" w:cs="Times New Roman"/>
                <w:sz w:val="24"/>
                <w:szCs w:val="24"/>
                <w:highlight w:val="white"/>
              </w:rPr>
              <w:t xml:space="preserve">Участник, признанный </w:t>
            </w:r>
            <w:r>
              <w:rPr>
                <w:rFonts w:ascii="Times New Roman" w:hAnsi="Times New Roman" w:eastAsia="Times New Roman" w:cs="Times New Roman"/>
                <w:b/>
                <w:bCs/>
                <w:sz w:val="24"/>
                <w:szCs w:val="24"/>
                <w:highlight w:val="white"/>
              </w:rPr>
              <w:t xml:space="preserve">победителем</w:t>
            </w:r>
            <w:r>
              <w:rPr>
                <w:rFonts w:ascii="Times New Roman" w:hAnsi="Times New Roman" w:eastAsia="Times New Roman" w:cs="Times New Roman"/>
                <w:sz w:val="24"/>
                <w:szCs w:val="24"/>
                <w:highlight w:val="white"/>
              </w:rPr>
              <w:t xml:space="preserve"> закупочной процедуры, в течение 5 (пяти) рабочих дней после размещения протокола подведения итогов закупки на сайте </w:t>
            </w:r>
            <w:hyperlink r:id="rId11" w:tooltip="http://www.zakupki.gov.ru" w:history="1">
              <w:r>
                <w:rPr>
                  <w:rStyle w:val="1012"/>
                  <w:rFonts w:ascii="Times New Roman" w:hAnsi="Times New Roman" w:eastAsia="Times New Roman" w:cs="Times New Roman"/>
                  <w:sz w:val="24"/>
                  <w:szCs w:val="24"/>
                  <w:highlight w:val="white"/>
                </w:rPr>
                <w:t xml:space="preserve">www.zakupki.gov.ru</w:t>
              </w:r>
            </w:hyperlink>
            <w:r>
              <w:rPr>
                <w:rFonts w:ascii="Times New Roman" w:hAnsi="Times New Roman" w:eastAsia="Times New Roman" w:cs="Times New Roman"/>
                <w:sz w:val="24"/>
                <w:szCs w:val="24"/>
                <w:highlight w:val="white"/>
              </w:rPr>
              <w:t xml:space="preserve"> (до заключения договора), должен предоставить в адрес Заказчика </w:t>
            </w:r>
            <w:r>
              <w:rPr>
                <w:rFonts w:ascii="Times New Roman" w:hAnsi="Times New Roman" w:eastAsia="Times New Roman" w:cs="Times New Roman"/>
                <w:sz w:val="24"/>
                <w:szCs w:val="24"/>
                <w:highlight w:val="white"/>
              </w:rPr>
              <w:t xml:space="preserve">на электронный адрес </w:t>
            </w:r>
            <w:hyperlink r:id="rId12" w:tooltip="mailto:Kulik-ANV@dgk.ru" w:history="1">
              <w:r>
                <w:rPr>
                  <w:rStyle w:val="1012"/>
                  <w:rFonts w:ascii="Times New Roman" w:hAnsi="Times New Roman" w:eastAsia="Times New Roman" w:cs="Times New Roman"/>
                  <w:sz w:val="24"/>
                  <w:szCs w:val="24"/>
                  <w:highlight w:val="white"/>
                </w:rPr>
              </w:r>
              <w:r>
                <w:rPr>
                  <w:rFonts w:ascii="Times New Roman" w:hAnsi="Times New Roman" w:eastAsia="Times New Roman" w:cs="Times New Roman"/>
                  <w:sz w:val="24"/>
                  <w:szCs w:val="24"/>
                  <w:highlight w:val="white"/>
                </w:rPr>
                <w:t xml:space="preserve">(</w:t>
              </w:r>
              <w:r>
                <w:rPr>
                  <w:rFonts w:ascii="Times New Roman" w:hAnsi="Times New Roman" w:eastAsia="Times New Roman" w:cs="Times New Roman"/>
                  <w:b/>
                  <w:bCs/>
                  <w:sz w:val="24"/>
                  <w:szCs w:val="24"/>
                  <w:highlight w:val="white"/>
                </w:rPr>
              </w:r>
              <w:r>
                <w:rPr>
                  <w:rFonts w:ascii="Times New Roman" w:hAnsi="Times New Roman" w:eastAsia="Times New Roman" w:cs="Times New Roman"/>
                  <w:b/>
                  <w:bCs/>
                  <w:sz w:val="24"/>
                  <w:szCs w:val="24"/>
                  <w:highlight w:val="white"/>
                </w:rPr>
                <w:t xml:space="preserve">shevchenko-ko@dgk.ru</w:t>
              </w:r>
              <w:r>
                <w:rPr>
                  <w:rFonts w:ascii="Times New Roman" w:hAnsi="Times New Roman" w:eastAsia="Times New Roman" w:cs="Times New Roman"/>
                  <w:b/>
                  <w:bCs/>
                  <w:sz w:val="24"/>
                  <w:szCs w:val="24"/>
                  <w:highlight w:val="white"/>
                </w:rPr>
                <w:t xml:space="preserve">)</w:t>
              </w:r>
              <w:r>
                <w:rPr>
                  <w:rStyle w:val="1012"/>
                  <w:rFonts w:ascii="Times New Roman" w:hAnsi="Times New Roman" w:eastAsia="Times New Roman" w:cs="Times New Roman"/>
                  <w:sz w:val="24"/>
                  <w:szCs w:val="24"/>
                  <w:highlight w:val="white"/>
                </w:rPr>
              </w:r>
            </w:hyperlink>
            <w:r>
              <w:rPr>
                <w:rFonts w:ascii="Times New Roman" w:hAnsi="Times New Roman" w:eastAsia="Times New Roman" w:cs="Times New Roman"/>
                <w:sz w:val="24"/>
                <w:szCs w:val="24"/>
                <w:highlight w:val="white"/>
              </w:rPr>
              <w:t xml:space="preserve"> дополнительные документы.</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024"/>
              <w:ind w:left="0"/>
              <w:jc w:val="both"/>
              <w:shd w:val="clear" w:color="auto" w:fill="ffffff"/>
              <w:tabs>
                <w:tab w:val="left" w:pos="284" w:leader="none"/>
              </w:tabs>
              <w:rPr>
                <w:rFonts w:ascii="Times New Roman" w:hAnsi="Times New Roman" w:cs="Times New Roman"/>
                <w:bCs/>
                <w:sz w:val="24"/>
                <w:szCs w:val="24"/>
                <w:highlight w:val="white"/>
              </w:rPr>
            </w:pPr>
            <w:r>
              <w:rPr>
                <w:rFonts w:ascii="Times New Roman" w:hAnsi="Times New Roman" w:eastAsia="Times New Roman" w:cs="Times New Roman"/>
                <w:sz w:val="24"/>
                <w:szCs w:val="24"/>
                <w:highlight w:val="white"/>
              </w:rPr>
              <w:t xml:space="preserve">В случае не предоставления документов, указанных в данном пункте Технических требований в установленный срок, в соответствии с условиями Документации о закупке, Победитель призн</w:t>
            </w:r>
            <w:r>
              <w:rPr>
                <w:rFonts w:ascii="Times New Roman" w:hAnsi="Times New Roman" w:eastAsia="Times New Roman" w:cs="Times New Roman"/>
                <w:sz w:val="24"/>
                <w:szCs w:val="24"/>
                <w:highlight w:val="white"/>
              </w:rPr>
              <w:t xml:space="preserve">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допущенных заявок.</w:t>
            </w:r>
            <w:r>
              <w:rPr>
                <w:rFonts w:ascii="Times New Roman" w:hAnsi="Times New Roman" w:cs="Times New Roman"/>
                <w:bCs/>
                <w:sz w:val="24"/>
                <w:szCs w:val="24"/>
                <w:highlight w:val="white"/>
              </w:rPr>
            </w:r>
            <w:r>
              <w:rPr>
                <w:rFonts w:ascii="Times New Roman" w:hAnsi="Times New Roman" w:cs="Times New Roman"/>
                <w:bCs/>
                <w:sz w:val="24"/>
                <w:szCs w:val="24"/>
                <w:highlight w:val="white"/>
              </w:rPr>
            </w:r>
          </w:p>
        </w:tc>
      </w:tr>
      <w:tr>
        <w:tblPrEx/>
        <w:trPr/>
        <w:tc>
          <w:tcPr>
            <w:gridSpan w:val="3"/>
            <w:tcW w:w="9325" w:type="dxa"/>
            <w:vMerge w:val="restart"/>
            <w:textDirection w:val="lrTb"/>
            <w:noWrap w:val="false"/>
          </w:tcPr>
          <w:p>
            <w:pPr>
              <w:ind w:left="0" w:right="0" w:firstLine="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Требования к кадровым ресурсам Победителя:</w:t>
            </w:r>
            <w:r/>
          </w:p>
          <w:p>
            <w:pPr>
              <w:ind w:left="0" w:right="0" w:firstLine="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Согласно требования:</w:t>
            </w:r>
            <w:r/>
          </w:p>
          <w:p>
            <w:pPr>
              <w:ind w:left="0" w:right="0" w:firstLine="0"/>
              <w:pBdr>
                <w:top w:val="none" w:color="000000" w:sz="4" w:space="0"/>
                <w:left w:val="none" w:color="000000" w:sz="4" w:space="0"/>
                <w:bottom w:val="none" w:color="000000" w:sz="4" w:space="0"/>
                <w:right w:val="none" w:color="000000" w:sz="4" w:space="0"/>
              </w:pBdr>
            </w:pPr>
            <w:r>
              <w:rPr>
                <w:rFonts w:ascii="Open Sans" w:hAnsi="Open Sans" w:eastAsia="Open Sans" w:cs="Open Sans"/>
                <w:color w:val="000000"/>
                <w:sz w:val="24"/>
              </w:rPr>
              <w:t xml:space="preserve"> -</w:t>
            </w:r>
            <w:r/>
            <w:r>
              <w:rPr>
                <w:rFonts w:ascii="Times New Roman" w:hAnsi="Times New Roman" w:eastAsia="Times New Roman" w:cs="Times New Roman"/>
                <w:color w:val="000000"/>
                <w:sz w:val="24"/>
              </w:rPr>
              <w:t xml:space="preserve"> п.92 Постановления правительства Российской федерации от 24.12.2021 г.№2464 «О порядке обучения по охране труда и проверки знаний требований охраны труда»</w:t>
            </w:r>
            <w:r/>
            <w:r/>
          </w:p>
          <w:p>
            <w:pPr>
              <w:ind w:left="0" w:right="0" w:firstLine="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иметь в наличие  не менее  3 человек (руководитель, производитель работ и всех членов бригады) прошедших проверку знаний требований охраны труда.</w:t>
            </w:r>
            <w:r/>
          </w:p>
          <w:p>
            <w:r/>
            <w:r/>
          </w:p>
        </w:tc>
        <w:tc>
          <w:tcPr>
            <w:gridSpan w:val="2"/>
            <w:tcW w:w="5809" w:type="dxa"/>
            <w:vMerge w:val="restart"/>
            <w:textDirection w:val="lrTb"/>
            <w:noWrap w:val="false"/>
          </w:tcPr>
          <w:p>
            <w:pPr>
              <w:ind w:left="0" w:right="0" w:firstLine="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u w:val="single"/>
              </w:rPr>
              <w:t xml:space="preserve">Подтверждается :</w:t>
            </w:r>
            <w:r/>
          </w:p>
          <w:p>
            <w:pPr>
              <w:ind w:left="0" w:right="0" w:firstLine="0"/>
              <w:rPr>
                <w:rFonts w:ascii="Open Sans" w:hAnsi="Open Sans" w:eastAsia="Open Sans" w:cs="Open Sans"/>
                <w:color w:val="000000"/>
                <w:sz w:val="24"/>
                <w:szCs w:val="24"/>
                <w:highlight w:val="none"/>
              </w:rPr>
              <w:pBdr>
                <w:top w:val="none" w:color="000000" w:sz="4" w:space="0"/>
                <w:left w:val="none" w:color="000000" w:sz="4" w:space="0"/>
                <w:bottom w:val="none" w:color="000000" w:sz="4" w:space="0"/>
                <w:right w:val="none" w:color="000000" w:sz="4" w:space="0"/>
              </w:pBdr>
            </w:pPr>
            <w:r>
              <w:rPr>
                <w:rFonts w:ascii="Open Sans" w:hAnsi="Open Sans" w:eastAsia="Open Sans" w:cs="Open Sans"/>
                <w:color w:val="000000"/>
                <w:sz w:val="24"/>
              </w:rPr>
              <w:t xml:space="preserve"> </w:t>
            </w:r>
            <w:r>
              <w:rPr>
                <w:rFonts w:ascii="Open Sans" w:hAnsi="Open Sans" w:eastAsia="Open Sans" w:cs="Open Sans"/>
                <w:color w:val="000000"/>
                <w:sz w:val="24"/>
                <w:szCs w:val="24"/>
                <w:highlight w:val="none"/>
              </w:rPr>
            </w:r>
            <w:r>
              <w:rPr>
                <w:rFonts w:ascii="Open Sans" w:hAnsi="Open Sans" w:eastAsia="Open Sans" w:cs="Open Sans"/>
                <w:color w:val="000000"/>
                <w:sz w:val="24"/>
                <w:highlight w:val="none"/>
              </w:rPr>
            </w:r>
            <w:r>
              <w:rPr>
                <w:rFonts w:ascii="Open Sans" w:hAnsi="Open Sans" w:eastAsia="Open Sans" w:cs="Open Sans"/>
                <w:color w:val="000000"/>
                <w:sz w:val="24"/>
                <w:highlight w:val="none"/>
              </w:rPr>
            </w:r>
            <w:r>
              <w:rPr>
                <w:rFonts w:ascii="Open Sans" w:hAnsi="Open Sans" w:eastAsia="Open Sans" w:cs="Open Sans"/>
                <w:sz w:val="24"/>
                <w:szCs w:val="24"/>
              </w:rPr>
            </w:r>
            <w:r>
              <w:rPr>
                <w:rFonts w:ascii="Open Sans" w:hAnsi="Open Sans" w:eastAsia="Open Sans" w:cs="Open Sans"/>
                <w:color w:val="000000"/>
                <w:sz w:val="24"/>
                <w:szCs w:val="24"/>
                <w:highlight w:val="none"/>
              </w:rPr>
            </w:r>
          </w:p>
          <w:p>
            <w:pPr>
              <w:ind w:left="0" w:right="0" w:firstLine="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1)копией протокола (-ов) проверки знания требований охраны труда обученных лиц, не менее чем на 3 человек, (руководитель, производитель работ и всех членов бригады), которые будут непосредственно на объектах выполнять работы по Наряду-допуску</w:t>
            </w:r>
            <w:r/>
          </w:p>
          <w:p>
            <w:r/>
            <w:r/>
          </w:p>
        </w:tc>
      </w:tr>
    </w:tbl>
    <w:p>
      <w:pPr>
        <w:spacing w:after="160" w:line="259" w:lineRule="auto"/>
        <w:sectPr>
          <w:footnotePr/>
          <w:endnotePr/>
          <w:type w:val="nextPage"/>
          <w:pgSz w:w="16838" w:h="11906" w:orient="landscape"/>
          <w:pgMar w:top="993" w:right="1134" w:bottom="850" w:left="1134" w:header="426" w:footer="708" w:gutter="0"/>
          <w:cols w:num="1" w:sep="0" w:space="708" w:equalWidth="1"/>
          <w:docGrid w:linePitch="360"/>
        </w:sectPr>
      </w:pPr>
      <w:r/>
      <w:r/>
    </w:p>
    <w:p>
      <w:pPr>
        <w:pStyle w:val="825"/>
        <w:ind w:left="0" w:right="0" w:firstLine="992"/>
        <w:jc w:val="center"/>
        <w:keepLines/>
        <w:spacing w:line="276" w:lineRule="auto"/>
        <w:tabs>
          <w:tab w:val="left" w:pos="425" w:leader="none"/>
        </w:tabs>
        <w:rPr>
          <w:sz w:val="24"/>
          <w:szCs w:val="24"/>
        </w:rPr>
      </w:pPr>
      <w:r>
        <w:rPr>
          <w:sz w:val="24"/>
          <w:szCs w:val="24"/>
        </w:rPr>
      </w:r>
      <w:bookmarkStart w:id="24" w:name="_Toc53393312"/>
      <w:r>
        <w:rPr>
          <w:sz w:val="24"/>
          <w:szCs w:val="24"/>
        </w:rPr>
      </w:r>
      <w:bookmarkStart w:id="25" w:name="_Toc54646411"/>
      <w:r>
        <w:rPr>
          <w:sz w:val="24"/>
          <w:szCs w:val="24"/>
        </w:rPr>
      </w:r>
      <w:bookmarkStart w:id="26" w:name="_Toc46743519"/>
      <w:r>
        <w:rPr>
          <w:sz w:val="24"/>
          <w:szCs w:val="24"/>
        </w:rPr>
      </w:r>
      <w:bookmarkStart w:id="27" w:name="_Toc51339699"/>
      <w:r>
        <w:rPr>
          <w:sz w:val="24"/>
          <w:szCs w:val="24"/>
        </w:rPr>
        <w:t xml:space="preserve">Требования к документации по ценообразованию</w:t>
      </w:r>
      <w:bookmarkEnd w:id="24"/>
      <w:r>
        <w:rPr>
          <w:sz w:val="24"/>
          <w:szCs w:val="24"/>
        </w:rPr>
        <w:t xml:space="preserve"> на этапе закупки</w:t>
      </w:r>
      <w:bookmarkEnd w:id="25"/>
      <w:r>
        <w:rPr>
          <w:sz w:val="24"/>
          <w:szCs w:val="24"/>
        </w:rPr>
      </w:r>
      <w:r>
        <w:rPr>
          <w:sz w:val="24"/>
          <w:szCs w:val="24"/>
        </w:rPr>
      </w:r>
    </w:p>
    <w:p>
      <w:pPr>
        <w:pStyle w:val="828"/>
        <w:ind w:left="0" w:right="0" w:firstLine="992"/>
        <w:jc w:val="both"/>
        <w:spacing w:line="276" w:lineRule="auto"/>
        <w:tabs>
          <w:tab w:val="left" w:pos="425" w:leader="none"/>
        </w:tabs>
        <w:rPr>
          <w:b w:val="0"/>
          <w:bCs w:val="0"/>
          <w:iCs/>
          <w:sz w:val="24"/>
          <w:szCs w:val="24"/>
        </w:rPr>
      </w:pPr>
      <w:r>
        <w:rPr>
          <w:b w:val="0"/>
          <w:bCs w:val="0"/>
          <w:iCs/>
          <w:sz w:val="24"/>
          <w:szCs w:val="24"/>
        </w:rPr>
        <w:t xml:space="preserve">В обоснование стоимости своей заявки Участник предоставляет Коммерческое предложение по форме (с учетом прилагаемой к ней инструкции по заполнению), приве</w:t>
      </w:r>
      <w:r>
        <w:rPr>
          <w:b w:val="0"/>
          <w:bCs w:val="0"/>
          <w:iCs/>
          <w:sz w:val="24"/>
          <w:szCs w:val="24"/>
        </w:rPr>
        <w:t xml:space="preserve">денной в Документации о закупке</w:t>
      </w:r>
      <w:r>
        <w:rPr>
          <w:b w:val="0"/>
          <w:bCs w:val="0"/>
          <w:iCs/>
          <w:sz w:val="24"/>
          <w:szCs w:val="24"/>
        </w:rPr>
        <w:t xml:space="preserve"> (с указанием понижающего коэффициента).</w:t>
      </w:r>
      <w:r>
        <w:rPr>
          <w:b w:val="0"/>
          <w:bCs w:val="0"/>
          <w:iCs/>
          <w:sz w:val="24"/>
          <w:szCs w:val="24"/>
        </w:rPr>
      </w:r>
      <w:r>
        <w:rPr>
          <w:b w:val="0"/>
          <w:bCs w:val="0"/>
          <w:iCs/>
          <w:sz w:val="24"/>
          <w:szCs w:val="24"/>
        </w:rPr>
      </w:r>
    </w:p>
    <w:p>
      <w:pPr>
        <w:pStyle w:val="825"/>
        <w:numPr>
          <w:ilvl w:val="0"/>
          <w:numId w:val="0"/>
        </w:numPr>
        <w:ind w:left="0" w:firstLine="708"/>
        <w:jc w:val="both"/>
        <w:rPr>
          <w:highlight w:val="white"/>
        </w:rPr>
      </w:pPr>
      <w:r>
        <w:rPr>
          <w:b w:val="0"/>
          <w:bCs w:val="0"/>
          <w:sz w:val="24"/>
          <w:szCs w:val="24"/>
          <w:highlight w:val="white"/>
        </w:rPr>
        <w:t xml:space="preserve">Стоимость предложений участников определяется по формуле: </w:t>
      </w:r>
      <w:r>
        <w:rPr>
          <w:i w:val="0"/>
          <w:iCs w:val="0"/>
          <w:sz w:val="24"/>
          <w:szCs w:val="24"/>
          <w:highlight w:val="white"/>
        </w:rPr>
        <w:t xml:space="preserve">P=N*k,</w:t>
      </w:r>
      <w:r>
        <w:rPr>
          <w:highlight w:val="white"/>
        </w:rPr>
      </w:r>
      <w:r>
        <w:rPr>
          <w:highlight w:val="white"/>
        </w:rPr>
      </w:r>
    </w:p>
    <w:p>
      <w:pPr>
        <w:ind w:left="0" w:right="0" w:firstLine="0"/>
        <w:jc w:val="both"/>
        <w:spacing w:before="0" w:line="240" w:lineRule="auto"/>
        <w:tabs>
          <w:tab w:val="left" w:pos="567" w:leader="none"/>
        </w:tabs>
        <w:rPr>
          <w:highlight w:val="white"/>
        </w:rPr>
      </w:pPr>
      <w:r>
        <w:rPr>
          <w:i w:val="0"/>
          <w:iCs w:val="0"/>
          <w:sz w:val="24"/>
          <w:szCs w:val="24"/>
          <w:highlight w:val="white"/>
        </w:rPr>
        <w:t xml:space="preserve">где P – стоимость предложения участника; </w:t>
      </w:r>
      <w:r>
        <w:rPr>
          <w:highlight w:val="white"/>
        </w:rPr>
      </w:r>
      <w:r>
        <w:rPr>
          <w:highlight w:val="white"/>
        </w:rPr>
      </w:r>
    </w:p>
    <w:p>
      <w:pPr>
        <w:ind w:left="0" w:right="0" w:firstLine="0"/>
        <w:jc w:val="both"/>
        <w:spacing w:before="0" w:line="240" w:lineRule="auto"/>
        <w:tabs>
          <w:tab w:val="left" w:pos="567" w:leader="none"/>
        </w:tabs>
        <w:rPr>
          <w:highlight w:val="white"/>
        </w:rPr>
      </w:pPr>
      <w:r>
        <w:rPr>
          <w:i w:val="0"/>
          <w:iCs w:val="0"/>
          <w:sz w:val="24"/>
          <w:szCs w:val="24"/>
          <w:highlight w:val="white"/>
        </w:rPr>
        <w:t xml:space="preserve">N – начальная (максимальная) цена договора</w:t>
      </w:r>
      <w:r>
        <w:rPr>
          <w:i w:val="0"/>
          <w:iCs w:val="0"/>
          <w:sz w:val="24"/>
          <w:szCs w:val="24"/>
          <w:highlight w:val="white"/>
        </w:rPr>
        <w:t xml:space="preserve"> (цена лота)</w:t>
      </w:r>
      <w:r>
        <w:rPr>
          <w:i w:val="0"/>
          <w:iCs w:val="0"/>
          <w:sz w:val="24"/>
          <w:szCs w:val="24"/>
          <w:highlight w:val="white"/>
        </w:rPr>
        <w:t xml:space="preserve">, определенная в соответствии со сметной документацией Заказчика, приведенной в приложении №4 к настоящим Техническим требованиям; </w:t>
      </w:r>
      <w:r>
        <w:rPr>
          <w:highlight w:val="white"/>
        </w:rPr>
      </w:r>
      <w:r>
        <w:rPr>
          <w:highlight w:val="white"/>
        </w:rPr>
      </w:r>
    </w:p>
    <w:p>
      <w:pPr>
        <w:numPr>
          <w:ilvl w:val="0"/>
          <w:numId w:val="0"/>
        </w:numPr>
        <w:ind w:left="0" w:right="0" w:firstLine="0"/>
        <w:jc w:val="both"/>
        <w:spacing w:before="0" w:line="240" w:lineRule="auto"/>
        <w:tabs>
          <w:tab w:val="left" w:pos="567" w:leader="none"/>
        </w:tabs>
        <w:rPr>
          <w:b w:val="0"/>
          <w:bCs w:val="0"/>
          <w:iCs/>
          <w:highlight w:val="white"/>
        </w:rPr>
      </w:pPr>
      <w:r>
        <w:rPr>
          <w:bCs w:val="0"/>
          <w:i w:val="0"/>
          <w:sz w:val="24"/>
          <w:szCs w:val="24"/>
          <w:highlight w:val="white"/>
        </w:rPr>
      </w:r>
      <w:r>
        <w:rPr>
          <w:i w:val="0"/>
          <w:iCs w:val="0"/>
          <w:sz w:val="24"/>
          <w:szCs w:val="24"/>
          <w:highlight w:val="white"/>
        </w:rPr>
        <w:t xml:space="preserve">k – </w:t>
      </w:r>
      <w:r>
        <w:rPr>
          <w:i w:val="0"/>
          <w:iCs w:val="0"/>
          <w:sz w:val="24"/>
          <w:szCs w:val="24"/>
          <w:highlight w:val="white"/>
        </w:rPr>
        <w:t xml:space="preserve">понижающий коэффициент, заявленный участником </w:t>
      </w:r>
      <w:r>
        <w:rPr>
          <w:i w:val="0"/>
          <w:iCs w:val="0"/>
          <w:sz w:val="24"/>
          <w:szCs w:val="24"/>
          <w:highlight w:val="white"/>
        </w:rPr>
        <w:t xml:space="preserve">в расчете цены заявки, величину данного коэффициента рекомендуется учитывать с округлением до 7 знаков после запятой</w:t>
      </w:r>
      <w:r>
        <w:rPr>
          <w:i w:val="0"/>
          <w:iCs w:val="0"/>
          <w:sz w:val="24"/>
          <w:szCs w:val="24"/>
          <w:highlight w:val="white"/>
        </w:rPr>
        <w:t xml:space="preserve">.</w:t>
      </w:r>
      <w:r>
        <w:rPr>
          <w:b w:val="0"/>
          <w:bCs w:val="0"/>
          <w:iCs/>
          <w:highlight w:val="white"/>
        </w:rPr>
      </w:r>
      <w:r>
        <w:rPr>
          <w:b w:val="0"/>
          <w:bCs w:val="0"/>
          <w:iCs/>
          <w:highlight w:val="white"/>
        </w:rPr>
      </w:r>
    </w:p>
    <w:p>
      <w:r/>
      <w:r/>
    </w:p>
    <w:p>
      <w:pPr>
        <w:pStyle w:val="828"/>
        <w:ind w:left="0" w:right="0" w:firstLine="992"/>
        <w:jc w:val="both"/>
        <w:spacing w:line="276" w:lineRule="auto"/>
        <w:tabs>
          <w:tab w:val="left" w:pos="425" w:leader="none"/>
        </w:tabs>
        <w:rPr>
          <w:b w:val="0"/>
          <w:iCs/>
          <w:sz w:val="24"/>
          <w:szCs w:val="24"/>
        </w:rPr>
      </w:pPr>
      <w:r>
        <w:rPr>
          <w:b w:val="0"/>
          <w:iCs/>
          <w:sz w:val="24"/>
          <w:szCs w:val="24"/>
        </w:rPr>
        <w:t xml:space="preserve">Дополнительные документы по ценообразованию (сметная документация) в состав заявки Участника не включаются».</w:t>
      </w:r>
      <w:r>
        <w:rPr>
          <w:b w:val="0"/>
          <w:iCs/>
          <w:sz w:val="24"/>
          <w:szCs w:val="24"/>
        </w:rPr>
      </w:r>
      <w:r>
        <w:rPr>
          <w:b w:val="0"/>
          <w:iCs/>
          <w:sz w:val="24"/>
          <w:szCs w:val="24"/>
        </w:rPr>
      </w:r>
    </w:p>
    <w:p>
      <w:pPr>
        <w:pStyle w:val="825"/>
        <w:numPr>
          <w:ilvl w:val="0"/>
          <w:numId w:val="0"/>
        </w:numPr>
        <w:ind w:left="0" w:right="0" w:firstLine="992"/>
        <w:keepLines/>
        <w:spacing w:line="276" w:lineRule="auto"/>
        <w:tabs>
          <w:tab w:val="left" w:pos="425" w:leader="none"/>
        </w:tabs>
        <w:rPr>
          <w:iCs/>
          <w:sz w:val="24"/>
          <w:szCs w:val="24"/>
        </w:rPr>
      </w:pPr>
      <w:r>
        <w:rPr>
          <w:iCs/>
          <w:sz w:val="24"/>
          <w:szCs w:val="24"/>
        </w:rPr>
      </w:r>
      <w:r>
        <w:rPr>
          <w:iCs/>
          <w:sz w:val="24"/>
          <w:szCs w:val="24"/>
        </w:rPr>
      </w:r>
      <w:r>
        <w:rPr>
          <w:iCs/>
          <w:sz w:val="24"/>
          <w:szCs w:val="24"/>
        </w:rPr>
      </w:r>
    </w:p>
    <w:p>
      <w:pPr>
        <w:pStyle w:val="825"/>
        <w:ind w:left="0" w:right="0" w:firstLine="992"/>
        <w:jc w:val="center"/>
        <w:keepLines/>
        <w:spacing w:line="276" w:lineRule="auto"/>
        <w:tabs>
          <w:tab w:val="left" w:pos="425" w:leader="none"/>
        </w:tabs>
        <w:rPr>
          <w:sz w:val="24"/>
          <w:szCs w:val="24"/>
        </w:rPr>
      </w:pPr>
      <w:r>
        <w:rPr>
          <w:sz w:val="24"/>
          <w:szCs w:val="24"/>
        </w:rPr>
      </w:r>
      <w:bookmarkStart w:id="28" w:name="_Toc54646412"/>
      <w:r>
        <w:rPr>
          <w:sz w:val="24"/>
          <w:szCs w:val="24"/>
        </w:rPr>
        <w:t xml:space="preserve">Требования к документации по ценообразованию на этапе заключения (исполнения) договора</w:t>
      </w:r>
      <w:bookmarkEnd w:id="28"/>
      <w:r>
        <w:rPr>
          <w:sz w:val="24"/>
          <w:szCs w:val="24"/>
        </w:rPr>
      </w:r>
      <w:r>
        <w:rPr>
          <w:sz w:val="24"/>
          <w:szCs w:val="24"/>
        </w:rPr>
      </w:r>
    </w:p>
    <w:p>
      <w:pPr>
        <w:pStyle w:val="828"/>
        <w:ind w:left="0" w:right="0" w:firstLine="709"/>
        <w:jc w:val="both"/>
        <w:rPr>
          <w:b w:val="0"/>
          <w:bCs w:val="0"/>
          <w:iCs/>
          <w:sz w:val="22"/>
          <w:szCs w:val="22"/>
        </w:rPr>
      </w:pPr>
      <w:r>
        <w:rPr>
          <w:b w:val="0"/>
          <w:bCs w:val="0"/>
          <w:iCs/>
          <w:sz w:val="22"/>
          <w:szCs w:val="22"/>
        </w:rPr>
        <w:t xml:space="preserve">Требования к составлению сметной документации (при заключении договора):</w:t>
      </w:r>
      <w:r>
        <w:rPr>
          <w:b w:val="0"/>
          <w:bCs w:val="0"/>
          <w:iCs/>
          <w:sz w:val="22"/>
          <w:szCs w:val="22"/>
        </w:rPr>
      </w:r>
      <w:r>
        <w:rPr>
          <w:b w:val="0"/>
          <w:bCs w:val="0"/>
          <w:iCs/>
          <w:sz w:val="22"/>
          <w:szCs w:val="22"/>
        </w:rPr>
      </w:r>
    </w:p>
    <w:p>
      <w:pPr>
        <w:pStyle w:val="828"/>
        <w:numPr>
          <w:ilvl w:val="0"/>
          <w:numId w:val="0"/>
        </w:numPr>
        <w:ind w:left="0" w:right="0" w:firstLine="709"/>
        <w:jc w:val="both"/>
        <w:rPr>
          <w:b w:val="0"/>
          <w:bCs w:val="0"/>
          <w:iCs/>
          <w:sz w:val="22"/>
          <w:szCs w:val="22"/>
        </w:rPr>
      </w:pPr>
      <w:r>
        <w:rPr>
          <w:b w:val="0"/>
          <w:bCs w:val="0"/>
          <w:iCs/>
          <w:sz w:val="22"/>
          <w:szCs w:val="22"/>
        </w:rPr>
        <w:t xml:space="preserve">4.1.1. Сметная документация разработана З</w:t>
      </w:r>
      <w:r>
        <w:rPr>
          <w:b w:val="0"/>
          <w:bCs w:val="0"/>
          <w:iCs/>
          <w:sz w:val="22"/>
          <w:szCs w:val="22"/>
        </w:rPr>
        <w:t xml:space="preserve">аказчиком в рамках определения начальной (максимальной) цены договора в соответствии с требованиями, указанными в приложении №1 к ТТ, и включается в состав договора с применением понижающего коэффициента, указанного в заявке Участника, с которым принято ре</w:t>
      </w:r>
      <w:r>
        <w:rPr>
          <w:b w:val="0"/>
          <w:bCs w:val="0"/>
          <w:iCs/>
          <w:sz w:val="22"/>
          <w:szCs w:val="22"/>
        </w:rPr>
        <w:t xml:space="preserve">шение заключить договор. Понижающий коэффициент начисляется в сводном сметном расчете единым индексом в итогах (после начисления лимитированных затрат).</w:t>
      </w:r>
      <w:r>
        <w:rPr>
          <w:b w:val="0"/>
          <w:bCs w:val="0"/>
          <w:iCs/>
          <w:sz w:val="22"/>
          <w:szCs w:val="22"/>
        </w:rPr>
      </w:r>
      <w:r>
        <w:rPr>
          <w:b w:val="0"/>
          <w:bCs w:val="0"/>
          <w:iCs/>
          <w:sz w:val="22"/>
          <w:szCs w:val="22"/>
        </w:rPr>
      </w:r>
    </w:p>
    <w:p>
      <w:pPr>
        <w:pStyle w:val="828"/>
        <w:numPr>
          <w:ilvl w:val="0"/>
          <w:numId w:val="0"/>
        </w:numPr>
        <w:ind w:left="0" w:right="0" w:firstLine="709"/>
        <w:jc w:val="both"/>
        <w:rPr>
          <w:b w:val="0"/>
          <w:bCs w:val="0"/>
          <w:iCs/>
          <w:sz w:val="22"/>
          <w:szCs w:val="22"/>
          <w:highlight w:val="white"/>
        </w:rPr>
      </w:pPr>
      <w:r>
        <w:rPr>
          <w:b w:val="0"/>
          <w:bCs w:val="0"/>
          <w:iCs/>
          <w:sz w:val="22"/>
          <w:szCs w:val="22"/>
          <w:highlight w:val="none"/>
        </w:rPr>
        <w:t xml:space="preserve">4.1.2. </w:t>
      </w:r>
      <w:r>
        <w:rPr>
          <w:b w:val="0"/>
          <w:bCs w:val="0"/>
          <w:iCs/>
          <w:sz w:val="22"/>
          <w:szCs w:val="22"/>
          <w:highlight w:val="white"/>
        </w:rPr>
        <w:t xml:space="preserve">Внесение изменений в сметную документацию Заказчика, кроме применения понижающего коэффициента в соответствии с п.4.1.1, не допускается.</w:t>
      </w:r>
      <w:r>
        <w:rPr>
          <w:b w:val="0"/>
          <w:bCs w:val="0"/>
          <w:iCs/>
          <w:sz w:val="22"/>
          <w:szCs w:val="22"/>
          <w:highlight w:val="white"/>
        </w:rPr>
      </w:r>
      <w:r>
        <w:rPr>
          <w:b w:val="0"/>
          <w:bCs w:val="0"/>
          <w:iCs/>
          <w:sz w:val="22"/>
          <w:szCs w:val="22"/>
          <w:highlight w:val="white"/>
        </w:rPr>
      </w:r>
    </w:p>
    <w:p>
      <w:pPr>
        <w:ind w:left="0" w:right="0" w:firstLine="709"/>
        <w:rPr>
          <w:sz w:val="22"/>
          <w:szCs w:val="22"/>
          <w:highlight w:val="white"/>
        </w:rPr>
      </w:pPr>
      <w:r>
        <w:rPr>
          <w:sz w:val="22"/>
          <w:szCs w:val="22"/>
          <w:highlight w:val="white"/>
        </w:rPr>
      </w:r>
      <w:r>
        <w:rPr>
          <w:sz w:val="22"/>
          <w:szCs w:val="22"/>
          <w:highlight w:val="white"/>
        </w:rPr>
      </w:r>
      <w:r>
        <w:rPr>
          <w:sz w:val="22"/>
          <w:szCs w:val="22"/>
          <w:highlight w:val="white"/>
        </w:rPr>
      </w:r>
    </w:p>
    <w:p>
      <w:pPr>
        <w:ind w:left="0" w:right="0" w:firstLine="709"/>
        <w:jc w:val="both"/>
        <w:rPr>
          <w:sz w:val="22"/>
          <w:szCs w:val="22"/>
          <w:highlight w:val="none"/>
        </w:rPr>
      </w:pPr>
      <w:r>
        <w:rPr>
          <w:sz w:val="22"/>
          <w:szCs w:val="22"/>
          <w:highlight w:val="white"/>
        </w:rPr>
        <w:t xml:space="preserve">4.1</w:t>
      </w:r>
      <w:r>
        <w:rPr>
          <w:sz w:val="22"/>
          <w:szCs w:val="22"/>
          <w:highlight w:val="white"/>
        </w:rPr>
        <w:t xml:space="preserve">.3.  В сметной документации предусмотрен рез</w:t>
      </w:r>
      <w:r>
        <w:rPr>
          <w:sz w:val="22"/>
          <w:szCs w:val="22"/>
          <w:highlight w:val="white"/>
        </w:rPr>
        <w:t xml:space="preserve">ерв средств на непредвиденные работы и затраты </w:t>
      </w:r>
      <w:r>
        <w:rPr>
          <w:sz w:val="22"/>
          <w:szCs w:val="22"/>
          <w:highlight w:val="white"/>
        </w:rPr>
        <w:t xml:space="preserve">в размере 1%</w:t>
      </w:r>
      <w:r>
        <w:rPr>
          <w:iCs/>
          <w:sz w:val="22"/>
          <w:szCs w:val="22"/>
          <w:highlight w:val="white"/>
        </w:rPr>
        <w:t xml:space="preserve">. </w:t>
      </w:r>
      <w:r>
        <w:rPr>
          <w:sz w:val="22"/>
          <w:szCs w:val="22"/>
          <w:highlight w:val="none"/>
        </w:rPr>
      </w:r>
      <w:r>
        <w:rPr>
          <w:sz w:val="22"/>
          <w:szCs w:val="22"/>
          <w:highlight w:val="none"/>
        </w:rPr>
      </w:r>
    </w:p>
    <w:p>
      <w:pPr>
        <w:ind w:left="0" w:right="0" w:firstLine="709"/>
        <w:jc w:val="both"/>
        <w:rPr>
          <w:sz w:val="22"/>
          <w:szCs w:val="22"/>
          <w:highlight w:val="none"/>
        </w:rPr>
      </w:pPr>
      <w:r>
        <w:rPr>
          <w:sz w:val="22"/>
          <w:szCs w:val="22"/>
          <w:highlight w:val="none"/>
        </w:rPr>
      </w:r>
      <w:r>
        <w:rPr>
          <w:sz w:val="22"/>
          <w:szCs w:val="22"/>
          <w:highlight w:val="none"/>
        </w:rPr>
      </w:r>
      <w:r>
        <w:rPr>
          <w:sz w:val="22"/>
          <w:szCs w:val="22"/>
          <w:highlight w:val="none"/>
        </w:rPr>
      </w:r>
    </w:p>
    <w:p>
      <w:pPr>
        <w:ind w:left="0" w:right="0" w:firstLine="709"/>
        <w:jc w:val="both"/>
        <w:rPr>
          <w:sz w:val="22"/>
          <w:szCs w:val="22"/>
          <w:highlight w:val="none"/>
        </w:rPr>
      </w:pPr>
      <w:r>
        <w:rPr>
          <w:sz w:val="22"/>
          <w:szCs w:val="22"/>
          <w:highlight w:val="none"/>
        </w:rPr>
        <w:t xml:space="preserve">4.2.      Требования к составлению сметной документации (на этапе исполнения договора):</w:t>
      </w:r>
      <w:r>
        <w:rPr>
          <w:sz w:val="22"/>
          <w:szCs w:val="22"/>
          <w:highlight w:val="none"/>
        </w:rPr>
      </w:r>
      <w:r>
        <w:rPr>
          <w:sz w:val="22"/>
          <w:szCs w:val="22"/>
          <w:highlight w:val="none"/>
        </w:rPr>
      </w:r>
    </w:p>
    <w:p>
      <w:pPr>
        <w:ind w:left="0" w:right="0" w:firstLine="709"/>
        <w:jc w:val="both"/>
      </w:pPr>
      <w:r>
        <w:rPr>
          <w:sz w:val="22"/>
          <w:szCs w:val="22"/>
          <w:highlight w:val="none"/>
        </w:rPr>
      </w:r>
      <w:r/>
    </w:p>
    <w:p>
      <w:pPr>
        <w:ind w:left="0" w:right="0" w:firstLine="709"/>
        <w:jc w:val="both"/>
        <w:rPr>
          <w:sz w:val="22"/>
          <w:szCs w:val="22"/>
          <w:highlight w:val="none"/>
        </w:rPr>
      </w:pPr>
      <w:r>
        <w:rPr>
          <w:sz w:val="22"/>
          <w:szCs w:val="22"/>
          <w:highlight w:val="none"/>
        </w:rPr>
        <w:t xml:space="preserve">4.2.1. 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 указанными в приложении № 1 к ТТ</w:t>
      </w:r>
      <w:r>
        <w:rPr>
          <w:sz w:val="22"/>
          <w:szCs w:val="22"/>
          <w:highlight w:val="none"/>
        </w:rPr>
        <w:t xml:space="preserve">, с применением понижающего коэффициента, определенного по результатам конкурентной процедуры (п. 4.1.1).</w:t>
      </w:r>
      <w:r>
        <w:rPr>
          <w:sz w:val="22"/>
          <w:szCs w:val="22"/>
          <w:highlight w:val="none"/>
        </w:rPr>
      </w:r>
      <w:r>
        <w:rPr>
          <w:sz w:val="22"/>
          <w:szCs w:val="22"/>
          <w:highlight w:val="none"/>
        </w:rPr>
      </w:r>
    </w:p>
    <w:p>
      <w:pPr>
        <w:ind w:left="0" w:right="0" w:firstLine="709"/>
        <w:jc w:val="both"/>
        <w:rPr>
          <w:sz w:val="22"/>
          <w:szCs w:val="22"/>
          <w:highlight w:val="none"/>
        </w:rPr>
      </w:pPr>
      <w:r>
        <w:rPr>
          <w:sz w:val="22"/>
          <w:szCs w:val="22"/>
          <w:highlight w:val="none"/>
        </w:rPr>
      </w:r>
      <w:r>
        <w:rPr>
          <w:sz w:val="22"/>
          <w:szCs w:val="22"/>
          <w:highlight w:val="none"/>
        </w:rPr>
      </w:r>
      <w:r>
        <w:rPr>
          <w:sz w:val="22"/>
          <w:szCs w:val="22"/>
          <w:highlight w:val="none"/>
        </w:rPr>
      </w:r>
    </w:p>
    <w:p>
      <w:pPr>
        <w:ind w:left="0" w:right="0" w:firstLine="709"/>
        <w:jc w:val="both"/>
        <w:rPr>
          <w:sz w:val="22"/>
          <w:szCs w:val="22"/>
          <w:highlight w:val="none"/>
        </w:rPr>
      </w:pPr>
      <w:r>
        <w:rPr>
          <w:sz w:val="22"/>
          <w:szCs w:val="22"/>
          <w:highlight w:val="none"/>
        </w:rPr>
      </w:r>
      <w:r>
        <w:rPr>
          <w:sz w:val="22"/>
          <w:szCs w:val="22"/>
          <w:highlight w:val="none"/>
        </w:rPr>
      </w:r>
      <w:r>
        <w:rPr>
          <w:sz w:val="22"/>
          <w:szCs w:val="22"/>
          <w:highlight w:val="none"/>
        </w:rPr>
      </w:r>
    </w:p>
    <w:p>
      <w:pPr>
        <w:pStyle w:val="825"/>
        <w:numPr>
          <w:ilvl w:val="0"/>
          <w:numId w:val="0"/>
        </w:numPr>
        <w:ind w:left="0" w:right="0" w:firstLine="992"/>
        <w:jc w:val="center"/>
        <w:keepLines/>
        <w:spacing w:line="276" w:lineRule="auto"/>
        <w:tabs>
          <w:tab w:val="left" w:pos="425" w:leader="none"/>
        </w:tabs>
        <w:rPr>
          <w:iCs/>
          <w:caps/>
          <w:sz w:val="24"/>
          <w:szCs w:val="24"/>
        </w:rPr>
      </w:pPr>
      <w:r>
        <w:rPr>
          <w:iCs/>
          <w:sz w:val="24"/>
          <w:szCs w:val="24"/>
        </w:rPr>
        <w:t xml:space="preserve">5. Приложения</w:t>
      </w:r>
      <w:bookmarkEnd w:id="26"/>
      <w:r>
        <w:rPr>
          <w:sz w:val="24"/>
          <w:szCs w:val="24"/>
        </w:rPr>
      </w:r>
      <w:bookmarkEnd w:id="27"/>
      <w:r>
        <w:rPr>
          <w:iCs/>
          <w:caps/>
          <w:sz w:val="24"/>
          <w:szCs w:val="24"/>
        </w:rPr>
      </w:r>
      <w:r>
        <w:rPr>
          <w:iCs/>
          <w:caps/>
          <w:sz w:val="24"/>
          <w:szCs w:val="24"/>
        </w:rPr>
      </w:r>
    </w:p>
    <w:p>
      <w:pPr>
        <w:jc w:val="both"/>
        <w:spacing w:after="120" w:line="276" w:lineRule="auto"/>
        <w:rPr>
          <w:bCs/>
          <w:sz w:val="24"/>
          <w:szCs w:val="24"/>
        </w:rPr>
      </w:pPr>
      <w:r>
        <w:rPr>
          <w:bCs/>
          <w:sz w:val="24"/>
          <w:szCs w:val="24"/>
        </w:rPr>
        <w:t xml:space="preserve">Приложение № 1 - </w:t>
      </w:r>
      <w:r>
        <w:rPr>
          <w:sz w:val="24"/>
        </w:rPr>
        <w:t xml:space="preserve">Требования к оформлению и составлению документации по ценообразованию.</w:t>
      </w:r>
      <w:r>
        <w:rPr>
          <w:bCs/>
          <w:sz w:val="24"/>
          <w:szCs w:val="24"/>
        </w:rPr>
      </w:r>
      <w:r>
        <w:rPr>
          <w:bCs/>
          <w:sz w:val="24"/>
          <w:szCs w:val="24"/>
        </w:rPr>
      </w:r>
    </w:p>
    <w:p>
      <w:pPr>
        <w:jc w:val="both"/>
        <w:spacing w:after="120" w:line="276" w:lineRule="auto"/>
        <w:rPr>
          <w:bCs/>
          <w:sz w:val="24"/>
          <w:szCs w:val="24"/>
        </w:rPr>
      </w:pPr>
      <w:r>
        <w:rPr>
          <w:bCs/>
          <w:sz w:val="24"/>
          <w:szCs w:val="24"/>
        </w:rPr>
        <w:t xml:space="preserve">Приложение № 2</w:t>
      </w:r>
      <w:r>
        <w:rPr>
          <w:bCs/>
          <w:sz w:val="24"/>
          <w:szCs w:val="24"/>
        </w:rPr>
        <w:t xml:space="preserve"> - Ведомость объемов работ.</w:t>
      </w:r>
      <w:r>
        <w:rPr>
          <w:bCs/>
          <w:sz w:val="24"/>
          <w:szCs w:val="24"/>
        </w:rPr>
      </w:r>
      <w:r>
        <w:rPr>
          <w:bCs/>
          <w:sz w:val="24"/>
          <w:szCs w:val="24"/>
        </w:rPr>
      </w:r>
    </w:p>
    <w:p>
      <w:pPr>
        <w:jc w:val="both"/>
        <w:spacing w:after="120" w:line="276" w:lineRule="auto"/>
        <w:rPr>
          <w:sz w:val="24"/>
          <w:szCs w:val="24"/>
          <w:highlight w:val="white"/>
        </w:rPr>
      </w:pPr>
      <w:r>
        <w:rPr>
          <w:bCs/>
          <w:sz w:val="24"/>
          <w:szCs w:val="24"/>
          <w:highlight w:val="white"/>
        </w:rPr>
        <w:t xml:space="preserve">Приложение № </w:t>
      </w:r>
      <w:r>
        <w:rPr>
          <w:bCs/>
          <w:sz w:val="24"/>
          <w:szCs w:val="24"/>
          <w:highlight w:val="white"/>
        </w:rPr>
        <w:t xml:space="preserve">3</w:t>
      </w:r>
      <w:r>
        <w:rPr>
          <w:bCs/>
          <w:sz w:val="24"/>
          <w:szCs w:val="24"/>
          <w:highlight w:val="white"/>
        </w:rPr>
        <w:t xml:space="preserve"> - Ведомость </w:t>
      </w:r>
      <w:r>
        <w:rPr>
          <w:bCs/>
          <w:sz w:val="24"/>
          <w:szCs w:val="24"/>
          <w:highlight w:val="white"/>
        </w:rPr>
        <w:t xml:space="preserve">материалов Подрядчика</w:t>
      </w:r>
      <w:r>
        <w:rPr>
          <w:bCs/>
          <w:sz w:val="24"/>
          <w:szCs w:val="24"/>
          <w:highlight w:val="white"/>
        </w:rPr>
        <w:t xml:space="preserve">.</w:t>
      </w:r>
      <w:r>
        <w:rPr>
          <w:sz w:val="24"/>
          <w:szCs w:val="24"/>
          <w:highlight w:val="white"/>
        </w:rPr>
      </w:r>
      <w:r>
        <w:rPr>
          <w:sz w:val="24"/>
          <w:szCs w:val="24"/>
          <w:highlight w:val="white"/>
        </w:rPr>
      </w:r>
    </w:p>
    <w:p>
      <w:pPr>
        <w:jc w:val="both"/>
        <w:spacing w:after="120"/>
        <w:rPr>
          <w:sz w:val="22"/>
          <w:szCs w:val="22"/>
          <w:highlight w:val="white"/>
        </w:rPr>
      </w:pPr>
      <w:r>
        <w:rPr>
          <w:bCs/>
          <w:sz w:val="22"/>
          <w:szCs w:val="22"/>
          <w:highlight w:val="white"/>
        </w:rPr>
        <w:t xml:space="preserve">Приложение № 4 – Смета</w:t>
      </w:r>
      <w:r>
        <w:rPr>
          <w:bCs/>
          <w:sz w:val="22"/>
          <w:szCs w:val="22"/>
          <w:highlight w:val="white"/>
        </w:rPr>
        <w:t xml:space="preserve">.</w:t>
      </w:r>
      <w:r>
        <w:rPr>
          <w:sz w:val="22"/>
          <w:szCs w:val="22"/>
          <w:highlight w:val="white"/>
        </w:rPr>
      </w:r>
      <w:r>
        <w:rPr>
          <w:sz w:val="22"/>
          <w:szCs w:val="22"/>
          <w:highlight w:val="white"/>
        </w:rPr>
      </w:r>
    </w:p>
    <w:p>
      <w:pPr>
        <w:jc w:val="both"/>
        <w:spacing w:after="120" w:line="276" w:lineRule="auto"/>
        <w:rPr>
          <w:sz w:val="24"/>
          <w:szCs w:val="24"/>
          <w:highlight w:val="white"/>
        </w:rPr>
      </w:pPr>
      <w:r>
        <w:rPr>
          <w:bCs/>
          <w:sz w:val="24"/>
          <w:szCs w:val="24"/>
          <w:highlight w:val="white"/>
        </w:rPr>
        <w:t xml:space="preserve">Приложение № 5</w:t>
      </w:r>
      <w:r>
        <w:rPr>
          <w:bCs/>
          <w:sz w:val="24"/>
          <w:szCs w:val="24"/>
          <w:highlight w:val="white"/>
        </w:rPr>
        <w:t xml:space="preserve"> – </w:t>
      </w:r>
      <w:r>
        <w:rPr>
          <w:bCs/>
          <w:sz w:val="24"/>
          <w:szCs w:val="24"/>
          <w:highlight w:val="white"/>
        </w:rPr>
        <w:t xml:space="preserve">ЛНА.</w:t>
      </w:r>
      <w:r>
        <w:rPr>
          <w:sz w:val="24"/>
          <w:szCs w:val="24"/>
          <w:highlight w:val="white"/>
        </w:rPr>
      </w:r>
      <w:r>
        <w:rPr>
          <w:sz w:val="24"/>
          <w:szCs w:val="24"/>
          <w:highlight w:val="white"/>
        </w:rPr>
      </w:r>
    </w:p>
    <w:p>
      <w:pPr>
        <w:jc w:val="both"/>
        <w:spacing w:after="120" w:line="276" w:lineRule="auto"/>
        <w:rPr>
          <w:sz w:val="24"/>
          <w:szCs w:val="24"/>
          <w:highlight w:val="white"/>
        </w:rPr>
      </w:pPr>
      <w:r>
        <w:rPr>
          <w:bCs/>
          <w:sz w:val="24"/>
          <w:szCs w:val="24"/>
          <w:highlight w:val="white"/>
        </w:rPr>
        <w:t xml:space="preserve">Приложение №6 – РП.</w:t>
      </w:r>
      <w:r>
        <w:rPr>
          <w:sz w:val="24"/>
          <w:szCs w:val="24"/>
          <w:highlight w:val="white"/>
        </w:rPr>
      </w:r>
      <w:r>
        <w:rPr>
          <w:sz w:val="24"/>
          <w:szCs w:val="24"/>
          <w:highlight w:val="white"/>
        </w:rPr>
      </w:r>
    </w:p>
    <w:sectPr>
      <w:footnotePr/>
      <w:endnotePr/>
      <w:type w:val="nextPage"/>
      <w:pgSz w:w="11906" w:h="16838" w:orient="portrait"/>
      <w:pgMar w:top="1134" w:right="851" w:bottom="680" w:left="1134" w:header="680" w:footer="737"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 Sans">
    <w:panose1 w:val="020B0606030504020204"/>
  </w:font>
  <w:font w:name="Geneva">
    <w:panose1 w:val="02000603000000000000"/>
  </w:font>
  <w:font w:name="Wingdings">
    <w:panose1 w:val="05010000000000000000"/>
  </w:font>
  <w:font w:name="Courier New">
    <w:panose1 w:val="02070309020205020404"/>
  </w:font>
  <w:font w:name="Symbol">
    <w:panose1 w:val="05010000000000000000"/>
  </w:font>
  <w:font w:name="Tahoma">
    <w:panose1 w:val="020B0604030504040204"/>
  </w:font>
  <w:font w:name="Calibri Light (Заголовки)">
    <w:panose1 w:val="020F0502020204030204"/>
  </w:font>
  <w:font w:name="Calibri">
    <w:panose1 w:val="020F0502020204030204"/>
  </w:font>
  <w:font w:name="Arial">
    <w:panose1 w:val="020B0604020202020204"/>
  </w:font>
  <w:font w:name="Iosevka Term SS03">
    <w:panose1 w:val="02000509030000000004"/>
  </w:font>
  <w:font w:name="Times New Roman">
    <w:panose1 w:val="020206030504050203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1828666342"/>
      <w:docPartObj>
        <w:docPartGallery w:val="Page Numbers (Top of Page)"/>
        <w:docPartUnique w:val="true"/>
      </w:docPartObj>
      <w:rPr/>
    </w:sdtPr>
    <w:sdtContent>
      <w:p>
        <w:pPr>
          <w:pStyle w:val="1014"/>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rPr>
          <w:t xml:space="preserve">15</w:t>
        </w:r>
        <w:r>
          <w:rPr>
            <w:sz w:val="24"/>
            <w:szCs w:val="24"/>
          </w:rPr>
          <w:fldChar w:fldCharType="end"/>
        </w:r>
        <w:r>
          <w:rPr>
            <w:sz w:val="24"/>
            <w:szCs w:val="24"/>
          </w:rPr>
        </w:r>
        <w:r>
          <w:rPr>
            <w:sz w:val="24"/>
            <w:szCs w:val="24"/>
          </w:rPr>
        </w:r>
      </w:p>
    </w:sdtContent>
  </w:sdt>
  <w:p>
    <w:pPr>
      <w:pStyle w:val="1014"/>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1318465715"/>
      <w:docPartObj>
        <w:docPartGallery w:val="Page Numbers (Top of Page)"/>
        <w:docPartUnique w:val="true"/>
      </w:docPartObj>
      <w:rPr/>
    </w:sdtPr>
    <w:sdtContent>
      <w:p>
        <w:pPr>
          <w:pStyle w:val="1014"/>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rPr>
          <w:t xml:space="preserve">14</w:t>
        </w:r>
        <w:r>
          <w:rPr>
            <w:sz w:val="24"/>
            <w:szCs w:val="24"/>
          </w:rPr>
          <w:fldChar w:fldCharType="end"/>
        </w:r>
        <w:r>
          <w:rPr>
            <w:sz w:val="24"/>
            <w:szCs w:val="24"/>
          </w:rPr>
        </w:r>
        <w:r>
          <w:rPr>
            <w:sz w:val="24"/>
            <w:szCs w:val="24"/>
          </w:rPr>
        </w:r>
      </w:p>
    </w:sdtContent>
  </w:sdt>
  <w:p>
    <w:pPr>
      <w:pStyle w:val="1014"/>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779" w:hanging="360"/>
      </w:pPr>
      <w:rPr>
        <w:rFonts w:hint="default" w:ascii="Symbol" w:hAnsi="Symbol"/>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1">
    <w:multiLevelType w:val="hybridMultilevel"/>
    <w:lvl w:ilvl="0">
      <w:start w:val="1"/>
      <w:numFmt w:val="decimal"/>
      <w:isLgl w:val="false"/>
      <w:suff w:val="tab"/>
      <w:lvlText w:val="%1."/>
      <w:lvlJc w:val="left"/>
      <w:pPr>
        <w:ind w:left="360" w:hanging="360"/>
      </w:pPr>
      <w:rPr>
        <w:b/>
        <w:bCs w:val="0"/>
        <w:sz w:val="24"/>
        <w:szCs w:val="24"/>
      </w:rPr>
    </w:lvl>
    <w:lvl w:ilvl="1">
      <w:start w:val="1"/>
      <w:numFmt w:val="decimal"/>
      <w:isLgl w:val="false"/>
      <w:suff w:val="tab"/>
      <w:lvlText w:val="%1.%2."/>
      <w:lvlJc w:val="left"/>
      <w:pPr>
        <w:ind w:left="792" w:hanging="432"/>
      </w:pPr>
      <w:rPr>
        <w:b w:val="0"/>
        <w:bCs/>
        <w:sz w:val="24"/>
        <w:szCs w:val="24"/>
      </w:rPr>
    </w:lvl>
    <w:lvl w:ilvl="2">
      <w:start w:val="1"/>
      <w:numFmt w:val="decimal"/>
      <w:isLgl w:val="false"/>
      <w:suff w:val="tab"/>
      <w:lvlText w:val="%1.%2.%3."/>
      <w:lvlJc w:val="left"/>
      <w:pPr>
        <w:ind w:left="1224" w:hanging="504"/>
      </w:pPr>
      <w:rPr>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5">
    <w:multiLevelType w:val="hybridMultilevel"/>
    <w:lvl w:ilvl="0">
      <w:start w:val="1"/>
      <w:numFmt w:val="decimal"/>
      <w:pStyle w:val="1022"/>
      <w:isLgl w:val="false"/>
      <w:suff w:val="tab"/>
      <w:lvlText w:val="%1."/>
      <w:lvlJc w:val="left"/>
      <w:pPr>
        <w:ind w:left="360" w:hanging="360"/>
        <w:tabs>
          <w:tab w:val="num" w:pos="360" w:leader="none"/>
        </w:tabs>
      </w:pPr>
      <w:rPr>
        <w:rFonts w:hint="default"/>
      </w:rPr>
    </w:lvl>
    <w:lvl w:ilvl="1">
      <w:start w:val="1"/>
      <w:numFmt w:val="decimal"/>
      <w:pStyle w:val="1023"/>
      <w:isLgl w:val="false"/>
      <w:suff w:val="tab"/>
      <w:lvlText w:val="%1.%2."/>
      <w:lvlJc w:val="left"/>
      <w:pPr>
        <w:ind w:left="0" w:firstLine="0"/>
        <w:tabs>
          <w:tab w:val="num" w:pos="357" w:leader="none"/>
        </w:tabs>
      </w:pPr>
      <w:rPr>
        <w:rFonts w:hint="default"/>
      </w:rPr>
    </w:lvl>
    <w:lvl w:ilvl="2">
      <w:start w:val="1"/>
      <w:numFmt w:val="decimal"/>
      <w:isLgl w:val="false"/>
      <w:suff w:val="tab"/>
      <w:lvlText w:val="%1.%2.%3."/>
      <w:lvlJc w:val="left"/>
      <w:pPr>
        <w:ind w:left="0" w:firstLine="0"/>
        <w:tabs>
          <w:tab w:val="num" w:pos="357" w:leader="none"/>
        </w:tabs>
      </w:pPr>
      <w:rPr>
        <w:rFonts w:hint="default"/>
      </w:rPr>
    </w:lvl>
    <w:lvl w:ilvl="3">
      <w:start w:val="1"/>
      <w:numFmt w:val="decimal"/>
      <w:isLgl w:val="false"/>
      <w:suff w:val="tab"/>
      <w:lvlText w:val="%1.%2.%3.%4."/>
      <w:lvlJc w:val="left"/>
      <w:pPr>
        <w:ind w:left="0" w:firstLine="0"/>
        <w:tabs>
          <w:tab w:val="num" w:pos="357" w:leader="none"/>
        </w:tabs>
      </w:pPr>
      <w:rPr>
        <w:rFonts w:hint="default"/>
      </w:rPr>
    </w:lvl>
    <w:lvl w:ilvl="4">
      <w:start w:val="1"/>
      <w:numFmt w:val="decimal"/>
      <w:isLgl w:val="false"/>
      <w:suff w:val="tab"/>
      <w:lvlText w:val="%1.%2.%3.%4.%5."/>
      <w:lvlJc w:val="left"/>
      <w:pPr>
        <w:ind w:left="0" w:firstLine="0"/>
        <w:tabs>
          <w:tab w:val="num" w:pos="2520" w:leader="none"/>
        </w:tabs>
      </w:pPr>
      <w:rPr>
        <w:rFonts w:hint="default"/>
      </w:rPr>
    </w:lvl>
    <w:lvl w:ilvl="5">
      <w:start w:val="1"/>
      <w:numFmt w:val="decimal"/>
      <w:isLgl w:val="false"/>
      <w:suff w:val="tab"/>
      <w:lvlText w:val="%1.%2.%3.%4.%5.%6."/>
      <w:lvlJc w:val="left"/>
      <w:pPr>
        <w:ind w:left="0" w:firstLine="0"/>
        <w:tabs>
          <w:tab w:val="num" w:pos="357" w:leader="none"/>
        </w:tabs>
      </w:pPr>
      <w:rPr>
        <w:rFonts w:hint="default"/>
      </w:rPr>
    </w:lvl>
    <w:lvl w:ilvl="6">
      <w:start w:val="1"/>
      <w:numFmt w:val="decimal"/>
      <w:isLgl w:val="false"/>
      <w:suff w:val="tab"/>
      <w:lvlText w:val="%1.%2.%3.%4.%5.%6.%7."/>
      <w:lvlJc w:val="left"/>
      <w:pPr>
        <w:ind w:left="0" w:firstLine="0"/>
        <w:tabs>
          <w:tab w:val="num" w:pos="357" w:leader="none"/>
        </w:tabs>
      </w:pPr>
      <w:rPr>
        <w:rFonts w:hint="default"/>
      </w:rPr>
    </w:lvl>
    <w:lvl w:ilvl="7">
      <w:start w:val="1"/>
      <w:numFmt w:val="decimal"/>
      <w:isLgl w:val="false"/>
      <w:suff w:val="tab"/>
      <w:lvlText w:val="%1.%2.%3.%4.%5.%6.%7.%8."/>
      <w:lvlJc w:val="left"/>
      <w:pPr>
        <w:ind w:left="0" w:firstLine="0"/>
        <w:tabs>
          <w:tab w:val="num" w:pos="357" w:leader="none"/>
        </w:tabs>
      </w:pPr>
      <w:rPr>
        <w:rFonts w:hint="default"/>
      </w:rPr>
    </w:lvl>
    <w:lvl w:ilvl="8">
      <w:start w:val="1"/>
      <w:numFmt w:val="decimal"/>
      <w:isLgl w:val="false"/>
      <w:suff w:val="tab"/>
      <w:lvlText w:val="%1.%2.%3.%4.%5.%6.%7.%8.%9."/>
      <w:lvlJc w:val="left"/>
      <w:pPr>
        <w:ind w:left="0" w:firstLine="0"/>
        <w:tabs>
          <w:tab w:val="num" w:pos="357" w:leader="none"/>
        </w:tabs>
      </w:pPr>
      <w:rPr>
        <w:rFonts w:hint="default"/>
      </w:rPr>
    </w:lvl>
  </w:abstractNum>
  <w:abstractNum w:abstractNumId="6">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7">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8">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0" w:firstLine="0"/>
        <w:tabs>
          <w:tab w:val="num" w:pos="357" w:leader="none"/>
        </w:tabs>
      </w:pPr>
      <w:rPr>
        <w:rFonts w:hint="default"/>
      </w:rPr>
    </w:lvl>
    <w:lvl w:ilvl="2">
      <w:start w:val="1"/>
      <w:numFmt w:val="decimal"/>
      <w:isLgl w:val="false"/>
      <w:suff w:val="tab"/>
      <w:lvlText w:val="%1.%2.%3."/>
      <w:lvlJc w:val="left"/>
      <w:pPr>
        <w:ind w:left="0" w:firstLine="0"/>
        <w:tabs>
          <w:tab w:val="num" w:pos="357" w:leader="none"/>
        </w:tabs>
      </w:pPr>
      <w:rPr>
        <w:rFonts w:hint="default"/>
      </w:rPr>
    </w:lvl>
    <w:lvl w:ilvl="3">
      <w:start w:val="1"/>
      <w:numFmt w:val="decimal"/>
      <w:isLgl w:val="false"/>
      <w:suff w:val="tab"/>
      <w:lvlText w:val="%1.%2.%3.%4."/>
      <w:lvlJc w:val="left"/>
      <w:pPr>
        <w:ind w:left="0" w:firstLine="0"/>
        <w:tabs>
          <w:tab w:val="num" w:pos="357" w:leader="none"/>
        </w:tabs>
      </w:pPr>
      <w:rPr>
        <w:rFonts w:hint="default"/>
      </w:rPr>
    </w:lvl>
    <w:lvl w:ilvl="4">
      <w:start w:val="1"/>
      <w:numFmt w:val="decimal"/>
      <w:isLgl w:val="false"/>
      <w:suff w:val="tab"/>
      <w:lvlText w:val="%1.%2.%3.%4.%5."/>
      <w:lvlJc w:val="left"/>
      <w:pPr>
        <w:ind w:left="0" w:firstLine="0"/>
        <w:tabs>
          <w:tab w:val="num" w:pos="2520" w:leader="none"/>
        </w:tabs>
      </w:pPr>
      <w:rPr>
        <w:rFonts w:hint="default"/>
      </w:rPr>
    </w:lvl>
    <w:lvl w:ilvl="5">
      <w:start w:val="1"/>
      <w:numFmt w:val="decimal"/>
      <w:isLgl w:val="false"/>
      <w:suff w:val="tab"/>
      <w:lvlText w:val="%1.%2.%3.%4.%5.%6."/>
      <w:lvlJc w:val="left"/>
      <w:pPr>
        <w:ind w:left="0" w:firstLine="0"/>
        <w:tabs>
          <w:tab w:val="num" w:pos="357" w:leader="none"/>
        </w:tabs>
      </w:pPr>
      <w:rPr>
        <w:rFonts w:hint="default"/>
      </w:rPr>
    </w:lvl>
    <w:lvl w:ilvl="6">
      <w:start w:val="1"/>
      <w:numFmt w:val="decimal"/>
      <w:isLgl w:val="false"/>
      <w:suff w:val="tab"/>
      <w:lvlText w:val="%1.%2.%3.%4.%5.%6.%7."/>
      <w:lvlJc w:val="left"/>
      <w:pPr>
        <w:ind w:left="0" w:firstLine="0"/>
        <w:tabs>
          <w:tab w:val="num" w:pos="357" w:leader="none"/>
        </w:tabs>
      </w:pPr>
      <w:rPr>
        <w:rFonts w:hint="default"/>
      </w:rPr>
    </w:lvl>
    <w:lvl w:ilvl="7">
      <w:start w:val="1"/>
      <w:numFmt w:val="decimal"/>
      <w:isLgl w:val="false"/>
      <w:suff w:val="tab"/>
      <w:lvlText w:val="%1.%2.%3.%4.%5.%6.%7.%8."/>
      <w:lvlJc w:val="left"/>
      <w:pPr>
        <w:ind w:left="0" w:firstLine="0"/>
        <w:tabs>
          <w:tab w:val="num" w:pos="357" w:leader="none"/>
        </w:tabs>
      </w:pPr>
      <w:rPr>
        <w:rFonts w:hint="default"/>
      </w:rPr>
    </w:lvl>
    <w:lvl w:ilvl="8">
      <w:start w:val="1"/>
      <w:numFmt w:val="decimal"/>
      <w:isLgl w:val="false"/>
      <w:suff w:val="tab"/>
      <w:lvlText w:val="%1.%2.%3.%4.%5.%6.%7.%8.%9."/>
      <w:lvlJc w:val="left"/>
      <w:pPr>
        <w:ind w:left="0" w:firstLine="0"/>
        <w:tabs>
          <w:tab w:val="num" w:pos="357" w:leader="none"/>
        </w:tabs>
      </w:pPr>
      <w:rPr>
        <w:rFonts w:hint="default"/>
      </w:rPr>
    </w:lvl>
  </w:abstractNum>
  <w:abstractNum w:abstractNumId="9">
    <w:multiLevelType w:val="hybridMultilevel"/>
    <w:lvl w:ilvl="0">
      <w:start w:val="1"/>
      <w:numFmt w:val="bullet"/>
      <w:isLgl w:val="false"/>
      <w:suff w:val="tab"/>
      <w:lvlText w:val="·"/>
      <w:lvlJc w:val="left"/>
      <w:pPr>
        <w:ind w:left="1058" w:hanging="360"/>
      </w:pPr>
      <w:rPr>
        <w:rFonts w:hint="default" w:ascii="Symbol" w:hAnsi="Symbol" w:eastAsia="Symbol" w:cs="Symbol"/>
      </w:rPr>
    </w:lvl>
    <w:lvl w:ilvl="1">
      <w:start w:val="1"/>
      <w:numFmt w:val="bullet"/>
      <w:isLgl w:val="false"/>
      <w:suff w:val="tab"/>
      <w:lvlText w:val="o"/>
      <w:lvlJc w:val="left"/>
      <w:pPr>
        <w:ind w:left="1778" w:hanging="360"/>
      </w:pPr>
      <w:rPr>
        <w:rFonts w:hint="default" w:ascii="Courier New" w:hAnsi="Courier New" w:eastAsia="Courier New" w:cs="Courier New"/>
      </w:rPr>
    </w:lvl>
    <w:lvl w:ilvl="2">
      <w:start w:val="1"/>
      <w:numFmt w:val="bullet"/>
      <w:isLgl w:val="false"/>
      <w:suff w:val="tab"/>
      <w:lvlText w:val="§"/>
      <w:lvlJc w:val="left"/>
      <w:pPr>
        <w:ind w:left="2498" w:hanging="360"/>
      </w:pPr>
      <w:rPr>
        <w:rFonts w:hint="default" w:ascii="Wingdings" w:hAnsi="Wingdings" w:eastAsia="Wingdings" w:cs="Wingdings"/>
      </w:rPr>
    </w:lvl>
    <w:lvl w:ilvl="3">
      <w:start w:val="1"/>
      <w:numFmt w:val="bullet"/>
      <w:isLgl w:val="false"/>
      <w:suff w:val="tab"/>
      <w:lvlText w:val="·"/>
      <w:lvlJc w:val="left"/>
      <w:pPr>
        <w:ind w:left="3218" w:hanging="360"/>
      </w:pPr>
      <w:rPr>
        <w:rFonts w:hint="default" w:ascii="Symbol" w:hAnsi="Symbol" w:eastAsia="Symbol" w:cs="Symbol"/>
      </w:rPr>
    </w:lvl>
    <w:lvl w:ilvl="4">
      <w:start w:val="1"/>
      <w:numFmt w:val="bullet"/>
      <w:isLgl w:val="false"/>
      <w:suff w:val="tab"/>
      <w:lvlText w:val="o"/>
      <w:lvlJc w:val="left"/>
      <w:pPr>
        <w:ind w:left="3938" w:hanging="360"/>
      </w:pPr>
      <w:rPr>
        <w:rFonts w:hint="default" w:ascii="Courier New" w:hAnsi="Courier New" w:eastAsia="Courier New" w:cs="Courier New"/>
      </w:rPr>
    </w:lvl>
    <w:lvl w:ilvl="5">
      <w:start w:val="1"/>
      <w:numFmt w:val="bullet"/>
      <w:isLgl w:val="false"/>
      <w:suff w:val="tab"/>
      <w:lvlText w:val="§"/>
      <w:lvlJc w:val="left"/>
      <w:pPr>
        <w:ind w:left="4658" w:hanging="360"/>
      </w:pPr>
      <w:rPr>
        <w:rFonts w:hint="default" w:ascii="Wingdings" w:hAnsi="Wingdings" w:eastAsia="Wingdings" w:cs="Wingdings"/>
      </w:rPr>
    </w:lvl>
    <w:lvl w:ilvl="6">
      <w:start w:val="1"/>
      <w:numFmt w:val="bullet"/>
      <w:isLgl w:val="false"/>
      <w:suff w:val="tab"/>
      <w:lvlText w:val="·"/>
      <w:lvlJc w:val="left"/>
      <w:pPr>
        <w:ind w:left="5378" w:hanging="360"/>
      </w:pPr>
      <w:rPr>
        <w:rFonts w:hint="default" w:ascii="Symbol" w:hAnsi="Symbol" w:eastAsia="Symbol" w:cs="Symbol"/>
      </w:rPr>
    </w:lvl>
    <w:lvl w:ilvl="7">
      <w:start w:val="1"/>
      <w:numFmt w:val="bullet"/>
      <w:isLgl w:val="false"/>
      <w:suff w:val="tab"/>
      <w:lvlText w:val="o"/>
      <w:lvlJc w:val="left"/>
      <w:pPr>
        <w:ind w:left="6098" w:hanging="360"/>
      </w:pPr>
      <w:rPr>
        <w:rFonts w:hint="default" w:ascii="Courier New" w:hAnsi="Courier New" w:eastAsia="Courier New" w:cs="Courier New"/>
      </w:rPr>
    </w:lvl>
    <w:lvl w:ilvl="8">
      <w:start w:val="1"/>
      <w:numFmt w:val="bullet"/>
      <w:isLgl w:val="false"/>
      <w:suff w:val="tab"/>
      <w:lvlText w:val="§"/>
      <w:lvlJc w:val="left"/>
      <w:pPr>
        <w:ind w:left="6818" w:hanging="360"/>
      </w:pPr>
      <w:rPr>
        <w:rFonts w:hint="default" w:ascii="Wingdings" w:hAnsi="Wingdings" w:eastAsia="Wingdings" w:cs="Wingdings"/>
      </w:rPr>
    </w:lvl>
  </w:abstractNum>
  <w:abstractNum w:abstractNumId="10">
    <w:multiLevelType w:val="hybridMultilevel"/>
    <w:lvl w:ilvl="0">
      <w:start w:val="1"/>
      <w:numFmt w:val="decimal"/>
      <w:isLgl w:val="false"/>
      <w:suff w:val="tab"/>
      <w:lvlText w:val="%1."/>
      <w:lvlJc w:val="left"/>
      <w:pPr>
        <w:ind w:left="360" w:hanging="360"/>
      </w:pPr>
      <w:rPr>
        <w:b/>
        <w:bCs w:val="0"/>
        <w:sz w:val="24"/>
        <w:szCs w:val="24"/>
      </w:rPr>
    </w:lvl>
    <w:lvl w:ilvl="1">
      <w:start w:val="1"/>
      <w:numFmt w:val="decimal"/>
      <w:isLgl w:val="false"/>
      <w:suff w:val="tab"/>
      <w:lvlText w:val="%1.%2."/>
      <w:lvlJc w:val="left"/>
      <w:pPr>
        <w:ind w:left="792" w:hanging="432"/>
      </w:pPr>
      <w:rPr>
        <w:b w:val="0"/>
        <w:bCs/>
        <w:sz w:val="24"/>
        <w:szCs w:val="24"/>
      </w:rPr>
    </w:lvl>
    <w:lvl w:ilvl="2">
      <w:start w:val="1"/>
      <w:numFmt w:val="decimal"/>
      <w:isLgl w:val="false"/>
      <w:suff w:val="tab"/>
      <w:lvlText w:val="%1.%2.%3."/>
      <w:lvlJc w:val="left"/>
      <w:pPr>
        <w:ind w:left="1224" w:hanging="504"/>
      </w:pPr>
      <w:rPr>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1">
    <w:multiLevelType w:val="hybridMultilevel"/>
    <w:lvl w:ilvl="0">
      <w:start w:val="1"/>
      <w:numFmt w:val="decimal"/>
      <w:isLgl w:val="false"/>
      <w:suff w:val="tab"/>
      <w:lvlText w:val="%1."/>
      <w:lvlJc w:val="left"/>
      <w:pPr>
        <w:ind w:left="360" w:hanging="360"/>
      </w:pPr>
      <w:rPr>
        <w:b/>
        <w:bCs w:val="0"/>
        <w:sz w:val="24"/>
        <w:szCs w:val="24"/>
      </w:rPr>
    </w:lvl>
    <w:lvl w:ilvl="1">
      <w:start w:val="1"/>
      <w:numFmt w:val="decimal"/>
      <w:isLgl w:val="false"/>
      <w:suff w:val="tab"/>
      <w:lvlText w:val="%1.%2."/>
      <w:lvlJc w:val="left"/>
      <w:pPr>
        <w:ind w:left="792" w:hanging="432"/>
      </w:pPr>
      <w:rPr>
        <w:b w:val="0"/>
        <w:bCs/>
        <w:sz w:val="24"/>
        <w:szCs w:val="24"/>
      </w:rPr>
    </w:lvl>
    <w:lvl w:ilvl="2">
      <w:start w:val="1"/>
      <w:numFmt w:val="decimal"/>
      <w:isLgl w:val="false"/>
      <w:suff w:val="tab"/>
      <w:lvlText w:val="%1.%2.%3."/>
      <w:lvlJc w:val="left"/>
      <w:pPr>
        <w:ind w:left="1224" w:hanging="504"/>
      </w:pPr>
      <w:rPr>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2">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4">
    <w:multiLevelType w:val="hybridMultilevel"/>
    <w:lvl w:ilvl="0">
      <w:start w:val="1"/>
      <w:numFmt w:val="decimal"/>
      <w:pStyle w:val="825"/>
      <w:isLgl w:val="false"/>
      <w:suff w:val="tab"/>
      <w:lvlText w:val="%1."/>
      <w:lvlJc w:val="left"/>
      <w:pPr>
        <w:ind w:left="5038" w:hanging="360"/>
      </w:pPr>
      <w:rPr>
        <w:rFonts w:hint="default" w:ascii="Times New Roman" w:hAnsi="Times New Roman" w:cs="Times New Roman"/>
        <w:b/>
        <w:bCs w:val="0"/>
        <w:i w:val="0"/>
        <w:iCs w:val="0"/>
        <w:caps w:val="0"/>
        <w:smallCaps w:val="0"/>
        <w:strike w:val="0"/>
        <w:vanish w:val="0"/>
        <w:color w:val="000000"/>
        <w:spacing w:val="0"/>
        <w:position w:val="0"/>
        <w:sz w:val="28"/>
        <w:szCs w:val="28"/>
        <w:u w:val="none"/>
        <w:vertAlign w:val="baseline"/>
        <w14:textOutline w14:w="0" w14:cap="rnd" w14:cmpd="sng" w14:algn="ctr">
          <w14:noFill/>
          <w14:prstDash w14:val="solid"/>
          <w14:bevel/>
        </w14:textOutline>
      </w:rPr>
    </w:lvl>
    <w:lvl w:ilvl="1">
      <w:start w:val="1"/>
      <w:numFmt w:val="decimal"/>
      <w:pStyle w:val="828"/>
      <w:isLgl w:val="false"/>
      <w:suff w:val="tab"/>
      <w:lvlText w:val="%1.%2."/>
      <w:lvlJc w:val="left"/>
      <w:pPr>
        <w:ind w:left="432" w:hanging="432"/>
      </w:pPr>
      <w:rPr>
        <w:rFonts w:hint="default"/>
        <w:b/>
        <w:bCs/>
        <w:i w:val="0"/>
        <w:iCs/>
        <w:sz w:val="24"/>
        <w:szCs w:val="24"/>
      </w:rPr>
    </w:lvl>
    <w:lvl w:ilvl="2">
      <w:start w:val="1"/>
      <w:numFmt w:val="decimal"/>
      <w:pStyle w:val="827"/>
      <w:isLgl w:val="false"/>
      <w:suff w:val="tab"/>
      <w:lvlText w:val="%1.%2.%3."/>
      <w:lvlJc w:val="left"/>
      <w:pPr>
        <w:ind w:left="1354" w:hanging="504"/>
      </w:pPr>
      <w:rPr>
        <w:rFonts w:hint="default"/>
        <w:b/>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1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6">
    <w:multiLevelType w:val="hybridMultilevel"/>
    <w:lvl w:ilvl="0">
      <w:start w:val="1"/>
      <w:numFmt w:val="decimal"/>
      <w:isLgl w:val="false"/>
      <w:suff w:val="tab"/>
      <w:lvlText w:val="%1."/>
      <w:lvlJc w:val="left"/>
      <w:pPr>
        <w:ind w:left="360" w:hanging="360"/>
      </w:pPr>
      <w:rPr>
        <w:rFonts w:hint="default"/>
      </w:rPr>
    </w:lvl>
    <w:lvl w:ilvl="1">
      <w:start w:val="1"/>
      <w:numFmt w:val="decimal"/>
      <w:isLgl w:val="false"/>
      <w:suff w:val="tab"/>
      <w:lvlText w:val="2. %2"/>
      <w:lvlJc w:val="left"/>
      <w:pPr>
        <w:ind w:left="792" w:hanging="432"/>
      </w:pPr>
      <w:rPr>
        <w:rFonts w:hint="default"/>
      </w:rPr>
    </w:lvl>
    <w:lvl w:ilvl="2">
      <w:start w:val="1"/>
      <w:numFmt w:val="decimal"/>
      <w:isLgl w:val="false"/>
      <w:suff w:val="tab"/>
      <w:lvlText w:val="2. %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17">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8">
    <w:multiLevelType w:val="hybridMultilevel"/>
    <w:lvl w:ilvl="0">
      <w:start w:val="1"/>
      <w:numFmt w:val="decimal"/>
      <w:isLgl w:val="false"/>
      <w:suff w:val="tab"/>
      <w:lvlText w:val="%1."/>
      <w:lvlJc w:val="left"/>
      <w:pPr>
        <w:ind w:left="360" w:hanging="360"/>
      </w:pPr>
      <w:rPr>
        <w:b/>
        <w:bCs w:val="0"/>
        <w:sz w:val="24"/>
        <w:szCs w:val="24"/>
      </w:rPr>
    </w:lvl>
    <w:lvl w:ilvl="1">
      <w:start w:val="1"/>
      <w:numFmt w:val="decimal"/>
      <w:isLgl w:val="false"/>
      <w:suff w:val="tab"/>
      <w:lvlText w:val="%1.%2."/>
      <w:lvlJc w:val="left"/>
      <w:pPr>
        <w:ind w:left="1000" w:hanging="432"/>
      </w:pPr>
      <w:rPr>
        <w:b w:val="0"/>
        <w:bCs/>
        <w:i w:val="0"/>
        <w:sz w:val="24"/>
        <w:szCs w:val="24"/>
      </w:rPr>
    </w:lvl>
    <w:lvl w:ilvl="2">
      <w:start w:val="1"/>
      <w:numFmt w:val="decimal"/>
      <w:isLgl w:val="false"/>
      <w:suff w:val="tab"/>
      <w:lvlText w:val="%1.%2.%3."/>
      <w:lvlJc w:val="left"/>
      <w:pPr>
        <w:ind w:left="1224" w:hanging="504"/>
      </w:pPr>
      <w:rPr>
        <w:i w:val="0"/>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9">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0">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1">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2">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3">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4">
    <w:multiLevelType w:val="hybridMultilevel"/>
    <w:lvl w:ilvl="0">
      <w:start w:val="1"/>
      <w:numFmt w:val="decimal"/>
      <w:pStyle w:val="825"/>
      <w:isLgl w:val="false"/>
      <w:suff w:val="tab"/>
      <w:lvlText w:val="%1."/>
      <w:lvlJc w:val="left"/>
      <w:pPr>
        <w:ind w:left="5038" w:hanging="360"/>
      </w:pPr>
      <w:rPr>
        <w:rFonts w:hint="default" w:ascii="Times New Roman" w:hAnsi="Times New Roman" w:cs="Times New Roman"/>
        <w:b/>
        <w:bCs w:val="0"/>
        <w:i w:val="0"/>
        <w:iCs w:val="0"/>
        <w:caps w:val="0"/>
        <w:smallCaps w:val="0"/>
        <w:strike w:val="0"/>
        <w:vanish w:val="0"/>
        <w:color w:val="000000"/>
        <w:spacing w:val="0"/>
        <w:position w:val="0"/>
        <w:sz w:val="28"/>
        <w:szCs w:val="28"/>
        <w:u w:val="none"/>
        <w:vertAlign w:val="baseline"/>
        <w14:textOutline w14:w="0" w14:cap="rnd" w14:cmpd="sng" w14:algn="ctr">
          <w14:noFill/>
          <w14:prstDash w14:val="solid"/>
          <w14:bevel/>
        </w14:textOutline>
      </w:rPr>
    </w:lvl>
    <w:lvl w:ilvl="1">
      <w:start w:val="1"/>
      <w:numFmt w:val="decimal"/>
      <w:pStyle w:val="828"/>
      <w:isLgl w:val="false"/>
      <w:suff w:val="tab"/>
      <w:lvlText w:val="%1.%2."/>
      <w:lvlJc w:val="left"/>
      <w:pPr>
        <w:ind w:left="432" w:hanging="432"/>
      </w:pPr>
      <w:rPr>
        <w:rFonts w:hint="default"/>
        <w:b/>
        <w:bCs/>
        <w:i w:val="0"/>
        <w:iCs/>
        <w:sz w:val="24"/>
        <w:szCs w:val="24"/>
      </w:rPr>
    </w:lvl>
    <w:lvl w:ilvl="2">
      <w:start w:val="1"/>
      <w:numFmt w:val="decimal"/>
      <w:pStyle w:val="827"/>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25">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6">
    <w:multiLevelType w:val="hybridMultilevel"/>
    <w:lvl w:ilvl="0">
      <w:start w:val="1"/>
      <w:numFmt w:val="decimal"/>
      <w:isLgl w:val="false"/>
      <w:suff w:val="tab"/>
      <w:lvlText w:val="%1."/>
      <w:lvlJc w:val="left"/>
      <w:pPr>
        <w:ind w:left="736" w:hanging="360"/>
      </w:pPr>
    </w:lvl>
    <w:lvl w:ilvl="1">
      <w:start w:val="1"/>
      <w:numFmt w:val="decimal"/>
      <w:isLgl w:val="false"/>
      <w:suff w:val="tab"/>
      <w:lvlText w:val="%1.%2."/>
      <w:lvlJc w:val="left"/>
      <w:pPr>
        <w:ind w:left="736" w:hanging="360"/>
      </w:pPr>
    </w:lvl>
    <w:lvl w:ilvl="2">
      <w:start w:val="1"/>
      <w:numFmt w:val="decimal"/>
      <w:isLgl w:val="false"/>
      <w:suff w:val="tab"/>
      <w:lvlText w:val="%1.%2.%3."/>
      <w:lvlJc w:val="left"/>
      <w:pPr>
        <w:ind w:left="1096" w:hanging="720"/>
      </w:pPr>
    </w:lvl>
    <w:lvl w:ilvl="3">
      <w:start w:val="1"/>
      <w:numFmt w:val="decimal"/>
      <w:isLgl w:val="false"/>
      <w:suff w:val="tab"/>
      <w:lvlText w:val="%1.%2.%3.%4."/>
      <w:lvlJc w:val="left"/>
      <w:pPr>
        <w:ind w:left="1096" w:hanging="720"/>
      </w:pPr>
    </w:lvl>
    <w:lvl w:ilvl="4">
      <w:start w:val="1"/>
      <w:numFmt w:val="decimal"/>
      <w:isLgl w:val="false"/>
      <w:suff w:val="tab"/>
      <w:lvlText w:val="%1.%2.%3.%4.%5."/>
      <w:lvlJc w:val="left"/>
      <w:pPr>
        <w:ind w:left="1456" w:hanging="1080"/>
      </w:pPr>
    </w:lvl>
    <w:lvl w:ilvl="5">
      <w:start w:val="1"/>
      <w:numFmt w:val="decimal"/>
      <w:isLgl w:val="false"/>
      <w:suff w:val="tab"/>
      <w:lvlText w:val="%1.%2.%3.%4.%5.%6."/>
      <w:lvlJc w:val="left"/>
      <w:pPr>
        <w:ind w:left="1456" w:hanging="1080"/>
      </w:pPr>
    </w:lvl>
    <w:lvl w:ilvl="6">
      <w:start w:val="1"/>
      <w:numFmt w:val="decimal"/>
      <w:isLgl w:val="false"/>
      <w:suff w:val="tab"/>
      <w:lvlText w:val="%1.%2.%3.%4.%5.%6.%7."/>
      <w:lvlJc w:val="left"/>
      <w:pPr>
        <w:ind w:left="1816" w:hanging="1440"/>
      </w:pPr>
    </w:lvl>
    <w:lvl w:ilvl="7">
      <w:start w:val="1"/>
      <w:numFmt w:val="decimal"/>
      <w:isLgl w:val="false"/>
      <w:suff w:val="tab"/>
      <w:lvlText w:val="%1.%2.%3.%4.%5.%6.%7.%8."/>
      <w:lvlJc w:val="left"/>
      <w:pPr>
        <w:ind w:left="1816" w:hanging="1440"/>
      </w:pPr>
    </w:lvl>
    <w:lvl w:ilvl="8">
      <w:start w:val="1"/>
      <w:numFmt w:val="decimal"/>
      <w:isLgl w:val="false"/>
      <w:suff w:val="tab"/>
      <w:lvlText w:val="%1.%2.%3.%4.%5.%6.%7.%8.%9."/>
      <w:lvlJc w:val="left"/>
      <w:pPr>
        <w:ind w:left="2176" w:hanging="1800"/>
      </w:pPr>
    </w:lvl>
  </w:abstractNum>
  <w:abstractNum w:abstractNumId="27">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8">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1276" w:hanging="360"/>
      </w:pPr>
      <w:rPr>
        <w:rFonts w:hint="default" w:ascii="Arial" w:hAnsi="Arial" w:eastAsia="Arial" w:cs="Arial"/>
      </w:rPr>
    </w:lvl>
    <w:lvl w:ilvl="1">
      <w:start w:val="1"/>
      <w:numFmt w:val="bullet"/>
      <w:isLgl w:val="false"/>
      <w:suff w:val="tab"/>
      <w:lvlText w:val="o"/>
      <w:lvlJc w:val="left"/>
      <w:pPr>
        <w:ind w:left="1996" w:hanging="360"/>
      </w:pPr>
      <w:rPr>
        <w:rFonts w:hint="default" w:ascii="Courier New" w:hAnsi="Courier New" w:eastAsia="Courier New" w:cs="Courier New"/>
      </w:rPr>
    </w:lvl>
    <w:lvl w:ilvl="2">
      <w:start w:val="1"/>
      <w:numFmt w:val="bullet"/>
      <w:isLgl w:val="false"/>
      <w:suff w:val="tab"/>
      <w:lvlText w:val="§"/>
      <w:lvlJc w:val="left"/>
      <w:pPr>
        <w:ind w:left="2716" w:hanging="360"/>
      </w:pPr>
      <w:rPr>
        <w:rFonts w:hint="default" w:ascii="Wingdings" w:hAnsi="Wingdings" w:eastAsia="Wingdings" w:cs="Wingdings"/>
      </w:rPr>
    </w:lvl>
    <w:lvl w:ilvl="3">
      <w:start w:val="1"/>
      <w:numFmt w:val="bullet"/>
      <w:isLgl w:val="false"/>
      <w:suff w:val="tab"/>
      <w:lvlText w:val="·"/>
      <w:lvlJc w:val="left"/>
      <w:pPr>
        <w:ind w:left="3436" w:hanging="360"/>
      </w:pPr>
      <w:rPr>
        <w:rFonts w:hint="default" w:ascii="Symbol" w:hAnsi="Symbol" w:eastAsia="Symbol" w:cs="Symbol"/>
      </w:rPr>
    </w:lvl>
    <w:lvl w:ilvl="4">
      <w:start w:val="1"/>
      <w:numFmt w:val="bullet"/>
      <w:isLgl w:val="false"/>
      <w:suff w:val="tab"/>
      <w:lvlText w:val="o"/>
      <w:lvlJc w:val="left"/>
      <w:pPr>
        <w:ind w:left="4156" w:hanging="360"/>
      </w:pPr>
      <w:rPr>
        <w:rFonts w:hint="default" w:ascii="Courier New" w:hAnsi="Courier New" w:eastAsia="Courier New" w:cs="Courier New"/>
      </w:rPr>
    </w:lvl>
    <w:lvl w:ilvl="5">
      <w:start w:val="1"/>
      <w:numFmt w:val="bullet"/>
      <w:isLgl w:val="false"/>
      <w:suff w:val="tab"/>
      <w:lvlText w:val="§"/>
      <w:lvlJc w:val="left"/>
      <w:pPr>
        <w:ind w:left="4876" w:hanging="360"/>
      </w:pPr>
      <w:rPr>
        <w:rFonts w:hint="default" w:ascii="Wingdings" w:hAnsi="Wingdings" w:eastAsia="Wingdings" w:cs="Wingdings"/>
      </w:rPr>
    </w:lvl>
    <w:lvl w:ilvl="6">
      <w:start w:val="1"/>
      <w:numFmt w:val="bullet"/>
      <w:isLgl w:val="false"/>
      <w:suff w:val="tab"/>
      <w:lvlText w:val="·"/>
      <w:lvlJc w:val="left"/>
      <w:pPr>
        <w:ind w:left="5596" w:hanging="360"/>
      </w:pPr>
      <w:rPr>
        <w:rFonts w:hint="default" w:ascii="Symbol" w:hAnsi="Symbol" w:eastAsia="Symbol" w:cs="Symbol"/>
      </w:rPr>
    </w:lvl>
    <w:lvl w:ilvl="7">
      <w:start w:val="1"/>
      <w:numFmt w:val="bullet"/>
      <w:isLgl w:val="false"/>
      <w:suff w:val="tab"/>
      <w:lvlText w:val="o"/>
      <w:lvlJc w:val="left"/>
      <w:pPr>
        <w:ind w:left="6316" w:hanging="360"/>
      </w:pPr>
      <w:rPr>
        <w:rFonts w:hint="default" w:ascii="Courier New" w:hAnsi="Courier New" w:eastAsia="Courier New" w:cs="Courier New"/>
      </w:rPr>
    </w:lvl>
    <w:lvl w:ilvl="8">
      <w:start w:val="1"/>
      <w:numFmt w:val="bullet"/>
      <w:isLgl w:val="false"/>
      <w:suff w:val="tab"/>
      <w:lvlText w:val="§"/>
      <w:lvlJc w:val="left"/>
      <w:pPr>
        <w:ind w:left="7036" w:hanging="360"/>
      </w:pPr>
      <w:rPr>
        <w:rFonts w:hint="default" w:ascii="Wingdings" w:hAnsi="Wingdings" w:eastAsia="Wingdings" w:cs="Wingdings"/>
      </w:rPr>
    </w:lvl>
  </w:abstractNum>
  <w:abstractNum w:abstractNumId="32">
    <w:multiLevelType w:val="hybridMultilevel"/>
    <w:lvl w:ilvl="0">
      <w:start w:val="1"/>
      <w:numFmt w:val="bullet"/>
      <w:isLgl w:val="false"/>
      <w:suff w:val="tab"/>
      <w:lvlText w:val="·"/>
      <w:lvlJc w:val="left"/>
      <w:pPr>
        <w:ind w:left="720" w:hanging="360"/>
      </w:pPr>
      <w:rPr>
        <w:rFonts w:hint="default" w:ascii="Symbol" w:hAnsi="Symbol" w:eastAsia="Symbol" w:cs="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3">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4">
    <w:multiLevelType w:val="hybridMultilevel"/>
    <w:lvl w:ilvl="0">
      <w:start w:val="1"/>
      <w:numFmt w:val="decimal"/>
      <w:isLgl w:val="false"/>
      <w:suff w:val="tab"/>
      <w:lvlText w:val="%1."/>
      <w:lvlJc w:val="left"/>
      <w:pPr>
        <w:ind w:left="5038" w:hanging="360"/>
      </w:pPr>
      <w:rPr>
        <w:rFonts w:hint="default" w:ascii="Times New Roman" w:hAnsi="Times New Roman" w:cs="Times New Roman"/>
        <w:b/>
        <w:bCs w:val="0"/>
        <w:i w:val="0"/>
        <w:iCs w:val="0"/>
        <w:caps w:val="0"/>
        <w:smallCaps w:val="0"/>
        <w:strike w:val="0"/>
        <w:vanish w:val="0"/>
        <w:color w:val="000000"/>
        <w:spacing w:val="0"/>
        <w:position w:val="0"/>
        <w:sz w:val="28"/>
        <w:szCs w:val="28"/>
        <w:u w:val="none"/>
        <w:vertAlign w:val="baseline"/>
        <w14:textOutline w14:w="0" w14:cap="rnd" w14:cmpd="sng" w14:algn="ctr">
          <w14:noFill/>
          <w14:prstDash w14:val="solid"/>
          <w14:bevel/>
        </w14:textOutline>
      </w:rPr>
    </w:lvl>
    <w:lvl w:ilvl="1">
      <w:start w:val="1"/>
      <w:numFmt w:val="decimal"/>
      <w:isLgl w:val="false"/>
      <w:suff w:val="tab"/>
      <w:lvlText w:val="%1.%2."/>
      <w:lvlJc w:val="left"/>
      <w:pPr>
        <w:ind w:left="432" w:hanging="432"/>
      </w:pPr>
      <w:rPr>
        <w:rFonts w:hint="default"/>
        <w:b/>
        <w:bCs/>
        <w:i w:val="0"/>
        <w:iCs/>
        <w:sz w:val="24"/>
        <w:szCs w:val="24"/>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35">
    <w:multiLevelType w:val="hybridMultilevel"/>
    <w:lvl w:ilvl="0">
      <w:start w:val="1"/>
      <w:numFmt w:val="bullet"/>
      <w:isLgl w:val="false"/>
      <w:suff w:val="tab"/>
      <w:lvlText w:val="–"/>
      <w:lvlJc w:val="left"/>
      <w:pPr>
        <w:ind w:left="1418" w:hanging="360"/>
      </w:pPr>
      <w:rPr>
        <w:rFonts w:hint="default" w:ascii="Arial" w:hAnsi="Arial" w:eastAsia="Arial" w:cs="Arial"/>
      </w:rPr>
    </w:lvl>
    <w:lvl w:ilvl="1">
      <w:start w:val="1"/>
      <w:numFmt w:val="bullet"/>
      <w:isLgl w:val="false"/>
      <w:suff w:val="tab"/>
      <w:lvlText w:val="o"/>
      <w:lvlJc w:val="left"/>
      <w:pPr>
        <w:ind w:left="2138" w:hanging="360"/>
      </w:pPr>
      <w:rPr>
        <w:rFonts w:hint="default" w:ascii="Courier New" w:hAnsi="Courier New" w:eastAsia="Courier New" w:cs="Courier New"/>
      </w:rPr>
    </w:lvl>
    <w:lvl w:ilvl="2">
      <w:start w:val="1"/>
      <w:numFmt w:val="bullet"/>
      <w:isLgl w:val="false"/>
      <w:suff w:val="tab"/>
      <w:lvlText w:val="§"/>
      <w:lvlJc w:val="left"/>
      <w:pPr>
        <w:ind w:left="2858" w:hanging="360"/>
      </w:pPr>
      <w:rPr>
        <w:rFonts w:hint="default" w:ascii="Wingdings" w:hAnsi="Wingdings" w:eastAsia="Wingdings" w:cs="Wingdings"/>
      </w:rPr>
    </w:lvl>
    <w:lvl w:ilvl="3">
      <w:start w:val="1"/>
      <w:numFmt w:val="bullet"/>
      <w:isLgl w:val="false"/>
      <w:suff w:val="tab"/>
      <w:lvlText w:val="·"/>
      <w:lvlJc w:val="left"/>
      <w:pPr>
        <w:ind w:left="3578" w:hanging="360"/>
      </w:pPr>
      <w:rPr>
        <w:rFonts w:hint="default" w:ascii="Symbol" w:hAnsi="Symbol" w:eastAsia="Symbol" w:cs="Symbol"/>
      </w:rPr>
    </w:lvl>
    <w:lvl w:ilvl="4">
      <w:start w:val="1"/>
      <w:numFmt w:val="bullet"/>
      <w:isLgl w:val="false"/>
      <w:suff w:val="tab"/>
      <w:lvlText w:val="o"/>
      <w:lvlJc w:val="left"/>
      <w:pPr>
        <w:ind w:left="4298" w:hanging="360"/>
      </w:pPr>
      <w:rPr>
        <w:rFonts w:hint="default" w:ascii="Courier New" w:hAnsi="Courier New" w:eastAsia="Courier New" w:cs="Courier New"/>
      </w:rPr>
    </w:lvl>
    <w:lvl w:ilvl="5">
      <w:start w:val="1"/>
      <w:numFmt w:val="bullet"/>
      <w:isLgl w:val="false"/>
      <w:suff w:val="tab"/>
      <w:lvlText w:val="§"/>
      <w:lvlJc w:val="left"/>
      <w:pPr>
        <w:ind w:left="5018" w:hanging="360"/>
      </w:pPr>
      <w:rPr>
        <w:rFonts w:hint="default" w:ascii="Wingdings" w:hAnsi="Wingdings" w:eastAsia="Wingdings" w:cs="Wingdings"/>
      </w:rPr>
    </w:lvl>
    <w:lvl w:ilvl="6">
      <w:start w:val="1"/>
      <w:numFmt w:val="bullet"/>
      <w:isLgl w:val="false"/>
      <w:suff w:val="tab"/>
      <w:lvlText w:val="·"/>
      <w:lvlJc w:val="left"/>
      <w:pPr>
        <w:ind w:left="5738" w:hanging="360"/>
      </w:pPr>
      <w:rPr>
        <w:rFonts w:hint="default" w:ascii="Symbol" w:hAnsi="Symbol" w:eastAsia="Symbol" w:cs="Symbol"/>
      </w:rPr>
    </w:lvl>
    <w:lvl w:ilvl="7">
      <w:start w:val="1"/>
      <w:numFmt w:val="bullet"/>
      <w:isLgl w:val="false"/>
      <w:suff w:val="tab"/>
      <w:lvlText w:val="o"/>
      <w:lvlJc w:val="left"/>
      <w:pPr>
        <w:ind w:left="6458" w:hanging="360"/>
      </w:pPr>
      <w:rPr>
        <w:rFonts w:hint="default" w:ascii="Courier New" w:hAnsi="Courier New" w:eastAsia="Courier New" w:cs="Courier New"/>
      </w:rPr>
    </w:lvl>
    <w:lvl w:ilvl="8">
      <w:start w:val="1"/>
      <w:numFmt w:val="bullet"/>
      <w:isLgl w:val="false"/>
      <w:suff w:val="tab"/>
      <w:lvlText w:val="§"/>
      <w:lvlJc w:val="left"/>
      <w:pPr>
        <w:ind w:left="7178" w:hanging="360"/>
      </w:pPr>
      <w:rPr>
        <w:rFonts w:hint="default" w:ascii="Wingdings" w:hAnsi="Wingdings" w:eastAsia="Wingdings" w:cs="Wingdings"/>
      </w:rPr>
    </w:lvl>
  </w:abstractNum>
  <w:abstractNum w:abstractNumId="36">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7">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8">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9">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0">
    <w:multiLevelType w:val="hybridMultilevel"/>
    <w:lvl w:ilvl="0">
      <w:start w:val="1"/>
      <w:numFmt w:val="bullet"/>
      <w:isLgl w:val="false"/>
      <w:suff w:val="tab"/>
      <w:lvlText w:val="–"/>
      <w:lvlJc w:val="left"/>
      <w:pPr>
        <w:ind w:left="1276" w:hanging="360"/>
      </w:pPr>
      <w:rPr>
        <w:rFonts w:hint="default" w:ascii="Arial" w:hAnsi="Arial" w:eastAsia="Arial" w:cs="Arial"/>
      </w:rPr>
    </w:lvl>
    <w:lvl w:ilvl="1">
      <w:start w:val="1"/>
      <w:numFmt w:val="bullet"/>
      <w:isLgl w:val="false"/>
      <w:suff w:val="tab"/>
      <w:lvlText w:val="o"/>
      <w:lvlJc w:val="left"/>
      <w:pPr>
        <w:ind w:left="1996" w:hanging="360"/>
      </w:pPr>
      <w:rPr>
        <w:rFonts w:hint="default" w:ascii="Courier New" w:hAnsi="Courier New" w:eastAsia="Courier New" w:cs="Courier New"/>
      </w:rPr>
    </w:lvl>
    <w:lvl w:ilvl="2">
      <w:start w:val="1"/>
      <w:numFmt w:val="bullet"/>
      <w:isLgl w:val="false"/>
      <w:suff w:val="tab"/>
      <w:lvlText w:val="§"/>
      <w:lvlJc w:val="left"/>
      <w:pPr>
        <w:ind w:left="2716" w:hanging="360"/>
      </w:pPr>
      <w:rPr>
        <w:rFonts w:hint="default" w:ascii="Wingdings" w:hAnsi="Wingdings" w:eastAsia="Wingdings" w:cs="Wingdings"/>
      </w:rPr>
    </w:lvl>
    <w:lvl w:ilvl="3">
      <w:start w:val="1"/>
      <w:numFmt w:val="bullet"/>
      <w:isLgl w:val="false"/>
      <w:suff w:val="tab"/>
      <w:lvlText w:val="·"/>
      <w:lvlJc w:val="left"/>
      <w:pPr>
        <w:ind w:left="3436" w:hanging="360"/>
      </w:pPr>
      <w:rPr>
        <w:rFonts w:hint="default" w:ascii="Symbol" w:hAnsi="Symbol" w:eastAsia="Symbol" w:cs="Symbol"/>
      </w:rPr>
    </w:lvl>
    <w:lvl w:ilvl="4">
      <w:start w:val="1"/>
      <w:numFmt w:val="bullet"/>
      <w:isLgl w:val="false"/>
      <w:suff w:val="tab"/>
      <w:lvlText w:val="o"/>
      <w:lvlJc w:val="left"/>
      <w:pPr>
        <w:ind w:left="4156" w:hanging="360"/>
      </w:pPr>
      <w:rPr>
        <w:rFonts w:hint="default" w:ascii="Courier New" w:hAnsi="Courier New" w:eastAsia="Courier New" w:cs="Courier New"/>
      </w:rPr>
    </w:lvl>
    <w:lvl w:ilvl="5">
      <w:start w:val="1"/>
      <w:numFmt w:val="bullet"/>
      <w:isLgl w:val="false"/>
      <w:suff w:val="tab"/>
      <w:lvlText w:val="§"/>
      <w:lvlJc w:val="left"/>
      <w:pPr>
        <w:ind w:left="4876" w:hanging="360"/>
      </w:pPr>
      <w:rPr>
        <w:rFonts w:hint="default" w:ascii="Wingdings" w:hAnsi="Wingdings" w:eastAsia="Wingdings" w:cs="Wingdings"/>
      </w:rPr>
    </w:lvl>
    <w:lvl w:ilvl="6">
      <w:start w:val="1"/>
      <w:numFmt w:val="bullet"/>
      <w:isLgl w:val="false"/>
      <w:suff w:val="tab"/>
      <w:lvlText w:val="·"/>
      <w:lvlJc w:val="left"/>
      <w:pPr>
        <w:ind w:left="5596" w:hanging="360"/>
      </w:pPr>
      <w:rPr>
        <w:rFonts w:hint="default" w:ascii="Symbol" w:hAnsi="Symbol" w:eastAsia="Symbol" w:cs="Symbol"/>
      </w:rPr>
    </w:lvl>
    <w:lvl w:ilvl="7">
      <w:start w:val="1"/>
      <w:numFmt w:val="bullet"/>
      <w:isLgl w:val="false"/>
      <w:suff w:val="tab"/>
      <w:lvlText w:val="o"/>
      <w:lvlJc w:val="left"/>
      <w:pPr>
        <w:ind w:left="6316" w:hanging="360"/>
      </w:pPr>
      <w:rPr>
        <w:rFonts w:hint="default" w:ascii="Courier New" w:hAnsi="Courier New" w:eastAsia="Courier New" w:cs="Courier New"/>
      </w:rPr>
    </w:lvl>
    <w:lvl w:ilvl="8">
      <w:start w:val="1"/>
      <w:numFmt w:val="bullet"/>
      <w:isLgl w:val="false"/>
      <w:suff w:val="tab"/>
      <w:lvlText w:val="§"/>
      <w:lvlJc w:val="left"/>
      <w:pPr>
        <w:ind w:left="7036" w:hanging="360"/>
      </w:pPr>
      <w:rPr>
        <w:rFonts w:hint="default" w:ascii="Wingdings" w:hAnsi="Wingdings" w:eastAsia="Wingdings" w:cs="Wingdings"/>
      </w:rPr>
    </w:lvl>
  </w:abstractNum>
  <w:abstractNum w:abstractNumId="41">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2">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3">
    <w:multiLevelType w:val="hybridMultilevel"/>
    <w:lvl w:ilvl="0">
      <w:start w:val="1"/>
      <w:numFmt w:val="decimal"/>
      <w:isLgl w:val="false"/>
      <w:suff w:val="tab"/>
      <w:lvlText w:val="%1."/>
      <w:lvlJc w:val="left"/>
      <w:pPr>
        <w:ind w:left="5038" w:hanging="360"/>
      </w:pPr>
      <w:rPr>
        <w:rFonts w:hint="default" w:ascii="Times New Roman" w:hAnsi="Times New Roman" w:cs="Times New Roman"/>
        <w:b/>
        <w:bCs w:val="0"/>
        <w:i w:val="0"/>
        <w:iCs w:val="0"/>
        <w:caps w:val="0"/>
        <w:smallCaps w:val="0"/>
        <w:strike w:val="0"/>
        <w:vanish w:val="0"/>
        <w:color w:val="000000"/>
        <w:spacing w:val="0"/>
        <w:position w:val="0"/>
        <w:sz w:val="28"/>
        <w:szCs w:val="28"/>
        <w:u w:val="none"/>
        <w:vertAlign w:val="baseline"/>
        <w14:textOutline w14:w="0" w14:cap="rnd" w14:cmpd="sng" w14:algn="ctr">
          <w14:noFill/>
          <w14:prstDash w14:val="solid"/>
          <w14:bevel/>
        </w14:textOutline>
      </w:rPr>
    </w:lvl>
    <w:lvl w:ilvl="1">
      <w:start w:val="1"/>
      <w:numFmt w:val="decimal"/>
      <w:isLgl w:val="false"/>
      <w:suff w:val="tab"/>
      <w:lvlText w:val="%1.%2."/>
      <w:lvlJc w:val="left"/>
      <w:pPr>
        <w:ind w:left="432" w:hanging="432"/>
      </w:pPr>
      <w:rPr>
        <w:rFonts w:hint="default"/>
        <w:b/>
        <w:bCs/>
        <w:i w:val="0"/>
        <w:iCs/>
        <w:sz w:val="24"/>
        <w:szCs w:val="24"/>
      </w:rPr>
    </w:lvl>
    <w:lvl w:ilvl="2">
      <w:start w:val="1"/>
      <w:numFmt w:val="decimal"/>
      <w:isLgl w:val="false"/>
      <w:suff w:val="tab"/>
      <w:lvlText w:val="%1.%2.%3."/>
      <w:lvlJc w:val="left"/>
      <w:pPr>
        <w:ind w:left="1355"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44">
    <w:multiLevelType w:val="hybridMultilevel"/>
    <w:lvl w:ilvl="0">
      <w:start w:val="1"/>
      <w:numFmt w:val="bullet"/>
      <w:isLgl w:val="false"/>
      <w:suff w:val="tab"/>
      <w:lvlText w:val="–"/>
      <w:lvlJc w:val="left"/>
      <w:pPr>
        <w:ind w:left="1418" w:hanging="360"/>
      </w:pPr>
      <w:rPr>
        <w:rFonts w:hint="default" w:ascii="Arial" w:hAnsi="Arial" w:eastAsia="Arial" w:cs="Arial"/>
      </w:rPr>
    </w:lvl>
    <w:lvl w:ilvl="1">
      <w:start w:val="1"/>
      <w:numFmt w:val="bullet"/>
      <w:isLgl w:val="false"/>
      <w:suff w:val="tab"/>
      <w:lvlText w:val="o"/>
      <w:lvlJc w:val="left"/>
      <w:pPr>
        <w:ind w:left="2138" w:hanging="360"/>
      </w:pPr>
      <w:rPr>
        <w:rFonts w:hint="default" w:ascii="Courier New" w:hAnsi="Courier New" w:eastAsia="Courier New" w:cs="Courier New"/>
      </w:rPr>
    </w:lvl>
    <w:lvl w:ilvl="2">
      <w:start w:val="1"/>
      <w:numFmt w:val="bullet"/>
      <w:isLgl w:val="false"/>
      <w:suff w:val="tab"/>
      <w:lvlText w:val="§"/>
      <w:lvlJc w:val="left"/>
      <w:pPr>
        <w:ind w:left="2858" w:hanging="360"/>
      </w:pPr>
      <w:rPr>
        <w:rFonts w:hint="default" w:ascii="Wingdings" w:hAnsi="Wingdings" w:eastAsia="Wingdings" w:cs="Wingdings"/>
      </w:rPr>
    </w:lvl>
    <w:lvl w:ilvl="3">
      <w:start w:val="1"/>
      <w:numFmt w:val="bullet"/>
      <w:isLgl w:val="false"/>
      <w:suff w:val="tab"/>
      <w:lvlText w:val="·"/>
      <w:lvlJc w:val="left"/>
      <w:pPr>
        <w:ind w:left="3578" w:hanging="360"/>
      </w:pPr>
      <w:rPr>
        <w:rFonts w:hint="default" w:ascii="Symbol" w:hAnsi="Symbol" w:eastAsia="Symbol" w:cs="Symbol"/>
      </w:rPr>
    </w:lvl>
    <w:lvl w:ilvl="4">
      <w:start w:val="1"/>
      <w:numFmt w:val="bullet"/>
      <w:isLgl w:val="false"/>
      <w:suff w:val="tab"/>
      <w:lvlText w:val="o"/>
      <w:lvlJc w:val="left"/>
      <w:pPr>
        <w:ind w:left="4298" w:hanging="360"/>
      </w:pPr>
      <w:rPr>
        <w:rFonts w:hint="default" w:ascii="Courier New" w:hAnsi="Courier New" w:eastAsia="Courier New" w:cs="Courier New"/>
      </w:rPr>
    </w:lvl>
    <w:lvl w:ilvl="5">
      <w:start w:val="1"/>
      <w:numFmt w:val="bullet"/>
      <w:isLgl w:val="false"/>
      <w:suff w:val="tab"/>
      <w:lvlText w:val="§"/>
      <w:lvlJc w:val="left"/>
      <w:pPr>
        <w:ind w:left="5018" w:hanging="360"/>
      </w:pPr>
      <w:rPr>
        <w:rFonts w:hint="default" w:ascii="Wingdings" w:hAnsi="Wingdings" w:eastAsia="Wingdings" w:cs="Wingdings"/>
      </w:rPr>
    </w:lvl>
    <w:lvl w:ilvl="6">
      <w:start w:val="1"/>
      <w:numFmt w:val="bullet"/>
      <w:isLgl w:val="false"/>
      <w:suff w:val="tab"/>
      <w:lvlText w:val="·"/>
      <w:lvlJc w:val="left"/>
      <w:pPr>
        <w:ind w:left="5738" w:hanging="360"/>
      </w:pPr>
      <w:rPr>
        <w:rFonts w:hint="default" w:ascii="Symbol" w:hAnsi="Symbol" w:eastAsia="Symbol" w:cs="Symbol"/>
      </w:rPr>
    </w:lvl>
    <w:lvl w:ilvl="7">
      <w:start w:val="1"/>
      <w:numFmt w:val="bullet"/>
      <w:isLgl w:val="false"/>
      <w:suff w:val="tab"/>
      <w:lvlText w:val="o"/>
      <w:lvlJc w:val="left"/>
      <w:pPr>
        <w:ind w:left="6458" w:hanging="360"/>
      </w:pPr>
      <w:rPr>
        <w:rFonts w:hint="default" w:ascii="Courier New" w:hAnsi="Courier New" w:eastAsia="Courier New" w:cs="Courier New"/>
      </w:rPr>
    </w:lvl>
    <w:lvl w:ilvl="8">
      <w:start w:val="1"/>
      <w:numFmt w:val="bullet"/>
      <w:isLgl w:val="false"/>
      <w:suff w:val="tab"/>
      <w:lvlText w:val="§"/>
      <w:lvlJc w:val="left"/>
      <w:pPr>
        <w:ind w:left="7178" w:hanging="360"/>
      </w:pPr>
      <w:rPr>
        <w:rFonts w:hint="default" w:ascii="Wingdings" w:hAnsi="Wingdings" w:eastAsia="Wingdings" w:cs="Wingdings"/>
      </w:rPr>
    </w:lvl>
  </w:abstractNum>
  <w:abstractNum w:abstractNumId="45">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46">
    <w:multiLevelType w:val="hybridMultilevel"/>
    <w:lvl w:ilvl="0">
      <w:start w:val="1"/>
      <w:numFmt w:val="decimal"/>
      <w:isLgl w:val="false"/>
      <w:suff w:val="tab"/>
      <w:lvlText w:val="%1."/>
      <w:lvlJc w:val="left"/>
      <w:pPr>
        <w:ind w:left="851" w:hanging="360"/>
      </w:pPr>
    </w:lvl>
    <w:lvl w:ilvl="1">
      <w:start w:val="1"/>
      <w:numFmt w:val="lowerLetter"/>
      <w:isLgl w:val="false"/>
      <w:suff w:val="tab"/>
      <w:lvlText w:val="%2."/>
      <w:lvlJc w:val="left"/>
      <w:pPr>
        <w:ind w:left="1571" w:hanging="360"/>
      </w:pPr>
    </w:lvl>
    <w:lvl w:ilvl="2">
      <w:start w:val="1"/>
      <w:numFmt w:val="lowerRoman"/>
      <w:isLgl w:val="false"/>
      <w:suff w:val="tab"/>
      <w:lvlText w:val="%3."/>
      <w:lvlJc w:val="right"/>
      <w:pPr>
        <w:ind w:left="2291" w:hanging="180"/>
      </w:pPr>
    </w:lvl>
    <w:lvl w:ilvl="3">
      <w:start w:val="1"/>
      <w:numFmt w:val="decimal"/>
      <w:isLgl w:val="false"/>
      <w:suff w:val="tab"/>
      <w:lvlText w:val="%4."/>
      <w:lvlJc w:val="left"/>
      <w:pPr>
        <w:ind w:left="3011" w:hanging="360"/>
      </w:pPr>
    </w:lvl>
    <w:lvl w:ilvl="4">
      <w:start w:val="1"/>
      <w:numFmt w:val="lowerLetter"/>
      <w:isLgl w:val="false"/>
      <w:suff w:val="tab"/>
      <w:lvlText w:val="%5."/>
      <w:lvlJc w:val="left"/>
      <w:pPr>
        <w:ind w:left="3731" w:hanging="360"/>
      </w:pPr>
    </w:lvl>
    <w:lvl w:ilvl="5">
      <w:start w:val="1"/>
      <w:numFmt w:val="lowerRoman"/>
      <w:isLgl w:val="false"/>
      <w:suff w:val="tab"/>
      <w:lvlText w:val="%6."/>
      <w:lvlJc w:val="right"/>
      <w:pPr>
        <w:ind w:left="4451" w:hanging="180"/>
      </w:pPr>
    </w:lvl>
    <w:lvl w:ilvl="6">
      <w:start w:val="1"/>
      <w:numFmt w:val="decimal"/>
      <w:isLgl w:val="false"/>
      <w:suff w:val="tab"/>
      <w:lvlText w:val="%7."/>
      <w:lvlJc w:val="left"/>
      <w:pPr>
        <w:ind w:left="5171" w:hanging="360"/>
      </w:pPr>
    </w:lvl>
    <w:lvl w:ilvl="7">
      <w:start w:val="1"/>
      <w:numFmt w:val="lowerLetter"/>
      <w:isLgl w:val="false"/>
      <w:suff w:val="tab"/>
      <w:lvlText w:val="%8."/>
      <w:lvlJc w:val="left"/>
      <w:pPr>
        <w:ind w:left="5891" w:hanging="360"/>
      </w:pPr>
    </w:lvl>
    <w:lvl w:ilvl="8">
      <w:start w:val="1"/>
      <w:numFmt w:val="lowerRoman"/>
      <w:isLgl w:val="false"/>
      <w:suff w:val="tab"/>
      <w:lvlText w:val="%9."/>
      <w:lvlJc w:val="right"/>
      <w:pPr>
        <w:ind w:left="6611" w:hanging="180"/>
      </w:pPr>
    </w:lvl>
  </w:abstractNum>
  <w:abstractNum w:abstractNumId="4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48">
    <w:multiLevelType w:val="hybridMultilevel"/>
    <w:lvl w:ilvl="0">
      <w:start w:val="1"/>
      <w:numFmt w:val="bullet"/>
      <w:isLgl w:val="false"/>
      <w:suff w:val="tab"/>
      <w:lvlText w:val="–"/>
      <w:lvlJc w:val="left"/>
      <w:pPr>
        <w:ind w:left="1418" w:hanging="360"/>
      </w:pPr>
      <w:rPr>
        <w:rFonts w:hint="default" w:ascii="Arial" w:hAnsi="Arial" w:eastAsia="Arial" w:cs="Arial"/>
      </w:rPr>
    </w:lvl>
    <w:lvl w:ilvl="1">
      <w:start w:val="1"/>
      <w:numFmt w:val="bullet"/>
      <w:isLgl w:val="false"/>
      <w:suff w:val="tab"/>
      <w:lvlText w:val="o"/>
      <w:lvlJc w:val="left"/>
      <w:pPr>
        <w:ind w:left="2138" w:hanging="360"/>
      </w:pPr>
      <w:rPr>
        <w:rFonts w:hint="default" w:ascii="Courier New" w:hAnsi="Courier New" w:eastAsia="Courier New" w:cs="Courier New"/>
      </w:rPr>
    </w:lvl>
    <w:lvl w:ilvl="2">
      <w:start w:val="1"/>
      <w:numFmt w:val="bullet"/>
      <w:isLgl w:val="false"/>
      <w:suff w:val="tab"/>
      <w:lvlText w:val="§"/>
      <w:lvlJc w:val="left"/>
      <w:pPr>
        <w:ind w:left="2858" w:hanging="360"/>
      </w:pPr>
      <w:rPr>
        <w:rFonts w:hint="default" w:ascii="Wingdings" w:hAnsi="Wingdings" w:eastAsia="Wingdings" w:cs="Wingdings"/>
      </w:rPr>
    </w:lvl>
    <w:lvl w:ilvl="3">
      <w:start w:val="1"/>
      <w:numFmt w:val="bullet"/>
      <w:isLgl w:val="false"/>
      <w:suff w:val="tab"/>
      <w:lvlText w:val="·"/>
      <w:lvlJc w:val="left"/>
      <w:pPr>
        <w:ind w:left="3578" w:hanging="360"/>
      </w:pPr>
      <w:rPr>
        <w:rFonts w:hint="default" w:ascii="Symbol" w:hAnsi="Symbol" w:eastAsia="Symbol" w:cs="Symbol"/>
      </w:rPr>
    </w:lvl>
    <w:lvl w:ilvl="4">
      <w:start w:val="1"/>
      <w:numFmt w:val="bullet"/>
      <w:isLgl w:val="false"/>
      <w:suff w:val="tab"/>
      <w:lvlText w:val="o"/>
      <w:lvlJc w:val="left"/>
      <w:pPr>
        <w:ind w:left="4298" w:hanging="360"/>
      </w:pPr>
      <w:rPr>
        <w:rFonts w:hint="default" w:ascii="Courier New" w:hAnsi="Courier New" w:eastAsia="Courier New" w:cs="Courier New"/>
      </w:rPr>
    </w:lvl>
    <w:lvl w:ilvl="5">
      <w:start w:val="1"/>
      <w:numFmt w:val="bullet"/>
      <w:isLgl w:val="false"/>
      <w:suff w:val="tab"/>
      <w:lvlText w:val="§"/>
      <w:lvlJc w:val="left"/>
      <w:pPr>
        <w:ind w:left="5018" w:hanging="360"/>
      </w:pPr>
      <w:rPr>
        <w:rFonts w:hint="default" w:ascii="Wingdings" w:hAnsi="Wingdings" w:eastAsia="Wingdings" w:cs="Wingdings"/>
      </w:rPr>
    </w:lvl>
    <w:lvl w:ilvl="6">
      <w:start w:val="1"/>
      <w:numFmt w:val="bullet"/>
      <w:isLgl w:val="false"/>
      <w:suff w:val="tab"/>
      <w:lvlText w:val="·"/>
      <w:lvlJc w:val="left"/>
      <w:pPr>
        <w:ind w:left="5738" w:hanging="360"/>
      </w:pPr>
      <w:rPr>
        <w:rFonts w:hint="default" w:ascii="Symbol" w:hAnsi="Symbol" w:eastAsia="Symbol" w:cs="Symbol"/>
      </w:rPr>
    </w:lvl>
    <w:lvl w:ilvl="7">
      <w:start w:val="1"/>
      <w:numFmt w:val="bullet"/>
      <w:isLgl w:val="false"/>
      <w:suff w:val="tab"/>
      <w:lvlText w:val="o"/>
      <w:lvlJc w:val="left"/>
      <w:pPr>
        <w:ind w:left="6458" w:hanging="360"/>
      </w:pPr>
      <w:rPr>
        <w:rFonts w:hint="default" w:ascii="Courier New" w:hAnsi="Courier New" w:eastAsia="Courier New" w:cs="Courier New"/>
      </w:rPr>
    </w:lvl>
    <w:lvl w:ilvl="8">
      <w:start w:val="1"/>
      <w:numFmt w:val="bullet"/>
      <w:isLgl w:val="false"/>
      <w:suff w:val="tab"/>
      <w:lvlText w:val="§"/>
      <w:lvlJc w:val="left"/>
      <w:pPr>
        <w:ind w:left="7178" w:hanging="360"/>
      </w:pPr>
      <w:rPr>
        <w:rFonts w:hint="default" w:ascii="Wingdings" w:hAnsi="Wingdings" w:eastAsia="Wingdings" w:cs="Wingdings"/>
      </w:rPr>
    </w:lvl>
  </w:abstractNum>
  <w:abstractNum w:abstractNumId="49">
    <w:multiLevelType w:val="hybridMultilevel"/>
    <w:lvl w:ilvl="0">
      <w:start w:val="1"/>
      <w:numFmt w:val="bullet"/>
      <w:isLgl w:val="false"/>
      <w:suff w:val="tab"/>
      <w:lvlText w:val="–"/>
      <w:lvlJc w:val="left"/>
      <w:pPr>
        <w:ind w:left="1276" w:hanging="360"/>
      </w:pPr>
      <w:rPr>
        <w:rFonts w:hint="default" w:ascii="Arial" w:hAnsi="Arial" w:eastAsia="Arial" w:cs="Arial"/>
      </w:rPr>
    </w:lvl>
    <w:lvl w:ilvl="1">
      <w:start w:val="1"/>
      <w:numFmt w:val="bullet"/>
      <w:isLgl w:val="false"/>
      <w:suff w:val="tab"/>
      <w:lvlText w:val="o"/>
      <w:lvlJc w:val="left"/>
      <w:pPr>
        <w:ind w:left="1996" w:hanging="360"/>
      </w:pPr>
      <w:rPr>
        <w:rFonts w:hint="default" w:ascii="Courier New" w:hAnsi="Courier New" w:eastAsia="Courier New" w:cs="Courier New"/>
      </w:rPr>
    </w:lvl>
    <w:lvl w:ilvl="2">
      <w:start w:val="1"/>
      <w:numFmt w:val="bullet"/>
      <w:isLgl w:val="false"/>
      <w:suff w:val="tab"/>
      <w:lvlText w:val="§"/>
      <w:lvlJc w:val="left"/>
      <w:pPr>
        <w:ind w:left="2716" w:hanging="360"/>
      </w:pPr>
      <w:rPr>
        <w:rFonts w:hint="default" w:ascii="Wingdings" w:hAnsi="Wingdings" w:eastAsia="Wingdings" w:cs="Wingdings"/>
      </w:rPr>
    </w:lvl>
    <w:lvl w:ilvl="3">
      <w:start w:val="1"/>
      <w:numFmt w:val="bullet"/>
      <w:isLgl w:val="false"/>
      <w:suff w:val="tab"/>
      <w:lvlText w:val="·"/>
      <w:lvlJc w:val="left"/>
      <w:pPr>
        <w:ind w:left="3436" w:hanging="360"/>
      </w:pPr>
      <w:rPr>
        <w:rFonts w:hint="default" w:ascii="Symbol" w:hAnsi="Symbol" w:eastAsia="Symbol" w:cs="Symbol"/>
      </w:rPr>
    </w:lvl>
    <w:lvl w:ilvl="4">
      <w:start w:val="1"/>
      <w:numFmt w:val="bullet"/>
      <w:isLgl w:val="false"/>
      <w:suff w:val="tab"/>
      <w:lvlText w:val="o"/>
      <w:lvlJc w:val="left"/>
      <w:pPr>
        <w:ind w:left="4156" w:hanging="360"/>
      </w:pPr>
      <w:rPr>
        <w:rFonts w:hint="default" w:ascii="Courier New" w:hAnsi="Courier New" w:eastAsia="Courier New" w:cs="Courier New"/>
      </w:rPr>
    </w:lvl>
    <w:lvl w:ilvl="5">
      <w:start w:val="1"/>
      <w:numFmt w:val="bullet"/>
      <w:isLgl w:val="false"/>
      <w:suff w:val="tab"/>
      <w:lvlText w:val="§"/>
      <w:lvlJc w:val="left"/>
      <w:pPr>
        <w:ind w:left="4876" w:hanging="360"/>
      </w:pPr>
      <w:rPr>
        <w:rFonts w:hint="default" w:ascii="Wingdings" w:hAnsi="Wingdings" w:eastAsia="Wingdings" w:cs="Wingdings"/>
      </w:rPr>
    </w:lvl>
    <w:lvl w:ilvl="6">
      <w:start w:val="1"/>
      <w:numFmt w:val="bullet"/>
      <w:isLgl w:val="false"/>
      <w:suff w:val="tab"/>
      <w:lvlText w:val="·"/>
      <w:lvlJc w:val="left"/>
      <w:pPr>
        <w:ind w:left="5596" w:hanging="360"/>
      </w:pPr>
      <w:rPr>
        <w:rFonts w:hint="default" w:ascii="Symbol" w:hAnsi="Symbol" w:eastAsia="Symbol" w:cs="Symbol"/>
      </w:rPr>
    </w:lvl>
    <w:lvl w:ilvl="7">
      <w:start w:val="1"/>
      <w:numFmt w:val="bullet"/>
      <w:isLgl w:val="false"/>
      <w:suff w:val="tab"/>
      <w:lvlText w:val="o"/>
      <w:lvlJc w:val="left"/>
      <w:pPr>
        <w:ind w:left="6316" w:hanging="360"/>
      </w:pPr>
      <w:rPr>
        <w:rFonts w:hint="default" w:ascii="Courier New" w:hAnsi="Courier New" w:eastAsia="Courier New" w:cs="Courier New"/>
      </w:rPr>
    </w:lvl>
    <w:lvl w:ilvl="8">
      <w:start w:val="1"/>
      <w:numFmt w:val="bullet"/>
      <w:isLgl w:val="false"/>
      <w:suff w:val="tab"/>
      <w:lvlText w:val="§"/>
      <w:lvlJc w:val="left"/>
      <w:pPr>
        <w:ind w:left="7036" w:hanging="360"/>
      </w:pPr>
      <w:rPr>
        <w:rFonts w:hint="default" w:ascii="Wingdings" w:hAnsi="Wingdings" w:eastAsia="Wingdings" w:cs="Wingdings"/>
      </w:rPr>
    </w:lvl>
  </w:abstractNum>
  <w:abstractNum w:abstractNumId="50">
    <w:multiLevelType w:val="hybridMultilevel"/>
    <w:lvl w:ilvl="0">
      <w:start w:val="1"/>
      <w:numFmt w:val="bullet"/>
      <w:isLgl w:val="false"/>
      <w:suff w:val="tab"/>
      <w:lvlText w:val="–"/>
      <w:lvlJc w:val="left"/>
      <w:pPr>
        <w:ind w:left="1276" w:hanging="360"/>
      </w:pPr>
      <w:rPr>
        <w:rFonts w:hint="default" w:ascii="Arial" w:hAnsi="Arial" w:eastAsia="Arial" w:cs="Arial"/>
      </w:rPr>
    </w:lvl>
    <w:lvl w:ilvl="1">
      <w:start w:val="1"/>
      <w:numFmt w:val="bullet"/>
      <w:isLgl w:val="false"/>
      <w:suff w:val="tab"/>
      <w:lvlText w:val="o"/>
      <w:lvlJc w:val="left"/>
      <w:pPr>
        <w:ind w:left="1996" w:hanging="360"/>
      </w:pPr>
      <w:rPr>
        <w:rFonts w:hint="default" w:ascii="Courier New" w:hAnsi="Courier New" w:eastAsia="Courier New" w:cs="Courier New"/>
      </w:rPr>
    </w:lvl>
    <w:lvl w:ilvl="2">
      <w:start w:val="1"/>
      <w:numFmt w:val="bullet"/>
      <w:isLgl w:val="false"/>
      <w:suff w:val="tab"/>
      <w:lvlText w:val="§"/>
      <w:lvlJc w:val="left"/>
      <w:pPr>
        <w:ind w:left="2716" w:hanging="360"/>
      </w:pPr>
      <w:rPr>
        <w:rFonts w:hint="default" w:ascii="Wingdings" w:hAnsi="Wingdings" w:eastAsia="Wingdings" w:cs="Wingdings"/>
      </w:rPr>
    </w:lvl>
    <w:lvl w:ilvl="3">
      <w:start w:val="1"/>
      <w:numFmt w:val="bullet"/>
      <w:isLgl w:val="false"/>
      <w:suff w:val="tab"/>
      <w:lvlText w:val="·"/>
      <w:lvlJc w:val="left"/>
      <w:pPr>
        <w:ind w:left="3436" w:hanging="360"/>
      </w:pPr>
      <w:rPr>
        <w:rFonts w:hint="default" w:ascii="Symbol" w:hAnsi="Symbol" w:eastAsia="Symbol" w:cs="Symbol"/>
      </w:rPr>
    </w:lvl>
    <w:lvl w:ilvl="4">
      <w:start w:val="1"/>
      <w:numFmt w:val="bullet"/>
      <w:isLgl w:val="false"/>
      <w:suff w:val="tab"/>
      <w:lvlText w:val="o"/>
      <w:lvlJc w:val="left"/>
      <w:pPr>
        <w:ind w:left="4156" w:hanging="360"/>
      </w:pPr>
      <w:rPr>
        <w:rFonts w:hint="default" w:ascii="Courier New" w:hAnsi="Courier New" w:eastAsia="Courier New" w:cs="Courier New"/>
      </w:rPr>
    </w:lvl>
    <w:lvl w:ilvl="5">
      <w:start w:val="1"/>
      <w:numFmt w:val="bullet"/>
      <w:isLgl w:val="false"/>
      <w:suff w:val="tab"/>
      <w:lvlText w:val="§"/>
      <w:lvlJc w:val="left"/>
      <w:pPr>
        <w:ind w:left="4876" w:hanging="360"/>
      </w:pPr>
      <w:rPr>
        <w:rFonts w:hint="default" w:ascii="Wingdings" w:hAnsi="Wingdings" w:eastAsia="Wingdings" w:cs="Wingdings"/>
      </w:rPr>
    </w:lvl>
    <w:lvl w:ilvl="6">
      <w:start w:val="1"/>
      <w:numFmt w:val="bullet"/>
      <w:isLgl w:val="false"/>
      <w:suff w:val="tab"/>
      <w:lvlText w:val="·"/>
      <w:lvlJc w:val="left"/>
      <w:pPr>
        <w:ind w:left="5596" w:hanging="360"/>
      </w:pPr>
      <w:rPr>
        <w:rFonts w:hint="default" w:ascii="Symbol" w:hAnsi="Symbol" w:eastAsia="Symbol" w:cs="Symbol"/>
      </w:rPr>
    </w:lvl>
    <w:lvl w:ilvl="7">
      <w:start w:val="1"/>
      <w:numFmt w:val="bullet"/>
      <w:isLgl w:val="false"/>
      <w:suff w:val="tab"/>
      <w:lvlText w:val="o"/>
      <w:lvlJc w:val="left"/>
      <w:pPr>
        <w:ind w:left="6316" w:hanging="360"/>
      </w:pPr>
      <w:rPr>
        <w:rFonts w:hint="default" w:ascii="Courier New" w:hAnsi="Courier New" w:eastAsia="Courier New" w:cs="Courier New"/>
      </w:rPr>
    </w:lvl>
    <w:lvl w:ilvl="8">
      <w:start w:val="1"/>
      <w:numFmt w:val="bullet"/>
      <w:isLgl w:val="false"/>
      <w:suff w:val="tab"/>
      <w:lvlText w:val="§"/>
      <w:lvlJc w:val="left"/>
      <w:pPr>
        <w:ind w:left="7036" w:hanging="360"/>
      </w:pPr>
      <w:rPr>
        <w:rFonts w:hint="default" w:ascii="Wingdings" w:hAnsi="Wingdings" w:eastAsia="Wingdings" w:cs="Wingdings"/>
      </w:rPr>
    </w:lvl>
  </w:abstractNum>
  <w:abstractNum w:abstractNumId="51">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52">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53">
    <w:multiLevelType w:val="hybridMultilevel"/>
    <w:lvl w:ilvl="0">
      <w:start w:val="1"/>
      <w:numFmt w:val="decimal"/>
      <w:isLgl w:val="false"/>
      <w:suff w:val="tab"/>
      <w:lvlText w:val="%1."/>
      <w:lvlJc w:val="left"/>
      <w:pPr>
        <w:ind w:left="360" w:hanging="360"/>
      </w:pPr>
      <w:rPr>
        <w:b/>
        <w:bCs w:val="0"/>
        <w:sz w:val="24"/>
        <w:szCs w:val="24"/>
      </w:rPr>
    </w:lvl>
    <w:lvl w:ilvl="1">
      <w:start w:val="1"/>
      <w:numFmt w:val="decimal"/>
      <w:isLgl w:val="false"/>
      <w:suff w:val="tab"/>
      <w:lvlText w:val="%1.%2."/>
      <w:lvlJc w:val="left"/>
      <w:pPr>
        <w:ind w:left="1000" w:hanging="432"/>
      </w:pPr>
      <w:rPr>
        <w:b w:val="0"/>
        <w:bCs/>
        <w:i w:val="0"/>
        <w:sz w:val="24"/>
        <w:szCs w:val="24"/>
      </w:rPr>
    </w:lvl>
    <w:lvl w:ilvl="2">
      <w:start w:val="1"/>
      <w:numFmt w:val="decimal"/>
      <w:isLgl w:val="false"/>
      <w:suff w:val="tab"/>
      <w:lvlText w:val="%1.%2.%3."/>
      <w:lvlJc w:val="left"/>
      <w:pPr>
        <w:ind w:left="1224" w:hanging="504"/>
      </w:pPr>
      <w:rPr>
        <w:i w:val="0"/>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54">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55">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56">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5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58">
    <w:multiLevelType w:val="hybridMultilevel"/>
    <w:lvl w:ilvl="0">
      <w:start w:val="1"/>
      <w:numFmt w:val="decimal"/>
      <w:isLgl w:val="false"/>
      <w:suff w:val="tab"/>
      <w:lvlText w:val="%1."/>
      <w:lvlJc w:val="right"/>
      <w:pPr>
        <w:ind w:left="709" w:hanging="360"/>
      </w:pPr>
      <w:rPr>
        <w:rFonts w:ascii="Times New Roman" w:hAnsi="Times New Roman" w:eastAsia="Times New Roman" w:cs="Times New Roman"/>
        <w:color w:val="000000"/>
        <w:sz w:val="24"/>
      </w:rPr>
    </w:lvl>
    <w:lvl w:ilvl="1">
      <w:start w:val="1"/>
      <w:numFmt w:val="decimal"/>
      <w:isLgl w:val="false"/>
      <w:suff w:val="tab"/>
      <w:lvlText w:val="%2."/>
      <w:lvlJc w:val="right"/>
      <w:pPr>
        <w:ind w:left="1429" w:hanging="360"/>
      </w:pPr>
    </w:lvl>
    <w:lvl w:ilvl="2">
      <w:start w:val="1"/>
      <w:numFmt w:val="decimal"/>
      <w:isLgl w:val="false"/>
      <w:suff w:val="tab"/>
      <w:lvlText w:val="%3."/>
      <w:lvlJc w:val="right"/>
      <w:pPr>
        <w:ind w:left="2149" w:hanging="180"/>
      </w:pPr>
    </w:lvl>
    <w:lvl w:ilvl="3">
      <w:start w:val="1"/>
      <w:numFmt w:val="decimal"/>
      <w:isLgl w:val="false"/>
      <w:suff w:val="tab"/>
      <w:lvlText w:val="%4."/>
      <w:lvlJc w:val="right"/>
      <w:pPr>
        <w:ind w:left="2869" w:hanging="360"/>
      </w:pPr>
    </w:lvl>
    <w:lvl w:ilvl="4">
      <w:start w:val="1"/>
      <w:numFmt w:val="decimal"/>
      <w:isLgl w:val="false"/>
      <w:suff w:val="tab"/>
      <w:lvlText w:val="%5."/>
      <w:lvlJc w:val="right"/>
      <w:pPr>
        <w:ind w:left="3589" w:hanging="360"/>
      </w:pPr>
    </w:lvl>
    <w:lvl w:ilvl="5">
      <w:start w:val="1"/>
      <w:numFmt w:val="decimal"/>
      <w:isLgl w:val="false"/>
      <w:suff w:val="tab"/>
      <w:lvlText w:val="%6."/>
      <w:lvlJc w:val="right"/>
      <w:pPr>
        <w:ind w:left="4309" w:hanging="180"/>
      </w:pPr>
    </w:lvl>
    <w:lvl w:ilvl="6">
      <w:start w:val="1"/>
      <w:numFmt w:val="decimal"/>
      <w:isLgl w:val="false"/>
      <w:suff w:val="tab"/>
      <w:lvlText w:val="%7."/>
      <w:lvlJc w:val="right"/>
      <w:pPr>
        <w:ind w:left="5029" w:hanging="360"/>
      </w:pPr>
    </w:lvl>
    <w:lvl w:ilvl="7">
      <w:start w:val="1"/>
      <w:numFmt w:val="decimal"/>
      <w:isLgl w:val="false"/>
      <w:suff w:val="tab"/>
      <w:lvlText w:val="%8."/>
      <w:lvlJc w:val="right"/>
      <w:pPr>
        <w:ind w:left="5749" w:hanging="360"/>
      </w:pPr>
    </w:lvl>
    <w:lvl w:ilvl="8">
      <w:start w:val="1"/>
      <w:numFmt w:val="decimal"/>
      <w:isLgl w:val="false"/>
      <w:suff w:val="tab"/>
      <w:lvlText w:val="%9."/>
      <w:lvlJc w:val="right"/>
      <w:pPr>
        <w:ind w:left="6469" w:hanging="180"/>
      </w:pPr>
    </w:lvl>
  </w:abstractNum>
  <w:num w:numId="1">
    <w:abstractNumId w:val="14"/>
  </w:num>
  <w:num w:numId="2">
    <w:abstractNumId w:val="5"/>
  </w:num>
  <w:num w:numId="3">
    <w:abstractNumId w:val="12"/>
  </w:num>
  <w:num w:numId="4">
    <w:abstractNumId w:val="2"/>
  </w:num>
  <w:num w:numId="5">
    <w:abstractNumId w:val="6"/>
  </w:num>
  <w:num w:numId="6">
    <w:abstractNumId w:val="1"/>
  </w:num>
  <w:num w:numId="7">
    <w:abstractNumId w:val="7"/>
  </w:num>
  <w:num w:numId="8">
    <w:abstractNumId w:val="10"/>
  </w:num>
  <w:num w:numId="9">
    <w:abstractNumId w:val="11"/>
  </w:num>
  <w:num w:numId="10">
    <w:abstractNumId w:val="4"/>
  </w:num>
  <w:num w:numId="11">
    <w:abstractNumId w:val="9"/>
  </w:num>
  <w:num w:numId="12">
    <w:abstractNumId w:val="15"/>
  </w:num>
  <w:num w:numId="13">
    <w:abstractNumId w:val="16"/>
  </w:num>
  <w:num w:numId="14">
    <w:abstractNumId w:val="8"/>
  </w:num>
  <w:num w:numId="15">
    <w:abstractNumId w:val="3"/>
  </w:num>
  <w:num w:numId="16">
    <w:abstractNumId w:val="13"/>
  </w:num>
  <w:num w:numId="17">
    <w:abstractNumId w:val="0"/>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824" w:default="1">
    <w:name w:val="Normal"/>
    <w:qFormat/>
    <w:pPr>
      <w:spacing w:after="0" w:line="240" w:lineRule="auto"/>
    </w:pPr>
    <w:rPr>
      <w:rFonts w:ascii="Times New Roman" w:hAnsi="Times New Roman" w:eastAsia="Times New Roman" w:cs="Times New Roman"/>
      <w:sz w:val="28"/>
      <w:szCs w:val="28"/>
      <w:lang w:eastAsia="ru-RU"/>
    </w:rPr>
  </w:style>
  <w:style w:type="paragraph" w:styleId="825">
    <w:name w:val="Heading 1"/>
    <w:basedOn w:val="827"/>
    <w:next w:val="824"/>
    <w:link w:val="1018"/>
    <w:qFormat/>
    <w:pPr>
      <w:numPr>
        <w:ilvl w:val="0"/>
      </w:numPr>
      <w:outlineLvl w:val="0"/>
    </w:pPr>
    <w:rPr>
      <w:sz w:val="28"/>
      <w:szCs w:val="28"/>
    </w:rPr>
  </w:style>
  <w:style w:type="paragraph" w:styleId="826">
    <w:name w:val="Heading 2"/>
    <w:basedOn w:val="824"/>
    <w:next w:val="824"/>
    <w:link w:val="850"/>
    <w:uiPriority w:val="9"/>
    <w:unhideWhenUsed/>
    <w:qFormat/>
    <w:pPr>
      <w:keepLines/>
      <w:keepNext/>
      <w:spacing w:before="360" w:after="200"/>
      <w:outlineLvl w:val="1"/>
    </w:pPr>
    <w:rPr>
      <w:rFonts w:ascii="Arial" w:hAnsi="Arial" w:eastAsia="Arial" w:cs="Arial"/>
      <w:sz w:val="34"/>
    </w:rPr>
  </w:style>
  <w:style w:type="paragraph" w:styleId="827">
    <w:name w:val="Heading 3"/>
    <w:basedOn w:val="824"/>
    <w:next w:val="824"/>
    <w:link w:val="1019"/>
    <w:qFormat/>
    <w:pPr>
      <w:numPr>
        <w:ilvl w:val="2"/>
        <w:numId w:val="1"/>
      </w:numPr>
      <w:ind w:left="1224"/>
      <w:keepNext/>
      <w:spacing w:before="120" w:after="60"/>
      <w:outlineLvl w:val="2"/>
    </w:pPr>
    <w:rPr>
      <w:rFonts w:eastAsia="Calibri"/>
      <w:b/>
      <w:sz w:val="24"/>
      <w:szCs w:val="24"/>
    </w:rPr>
  </w:style>
  <w:style w:type="paragraph" w:styleId="828">
    <w:name w:val="Heading 4"/>
    <w:basedOn w:val="827"/>
    <w:next w:val="824"/>
    <w:link w:val="1020"/>
    <w:qFormat/>
    <w:pPr>
      <w:numPr>
        <w:ilvl w:val="1"/>
      </w:numPr>
      <w:outlineLvl w:val="3"/>
    </w:pPr>
    <w:rPr>
      <w:bCs/>
    </w:rPr>
  </w:style>
  <w:style w:type="paragraph" w:styleId="829">
    <w:name w:val="Heading 5"/>
    <w:basedOn w:val="824"/>
    <w:next w:val="824"/>
    <w:link w:val="853"/>
    <w:uiPriority w:val="9"/>
    <w:unhideWhenUsed/>
    <w:qFormat/>
    <w:pPr>
      <w:keepLines/>
      <w:keepNext/>
      <w:spacing w:before="320" w:after="200"/>
      <w:outlineLvl w:val="4"/>
    </w:pPr>
    <w:rPr>
      <w:rFonts w:ascii="Arial" w:hAnsi="Arial" w:eastAsia="Arial" w:cs="Arial"/>
      <w:b/>
      <w:bCs/>
      <w:sz w:val="24"/>
      <w:szCs w:val="24"/>
    </w:rPr>
  </w:style>
  <w:style w:type="paragraph" w:styleId="830">
    <w:name w:val="Heading 6"/>
    <w:basedOn w:val="824"/>
    <w:next w:val="824"/>
    <w:link w:val="854"/>
    <w:uiPriority w:val="9"/>
    <w:unhideWhenUsed/>
    <w:qFormat/>
    <w:pPr>
      <w:keepLines/>
      <w:keepNext/>
      <w:spacing w:before="320" w:after="200"/>
      <w:outlineLvl w:val="5"/>
    </w:pPr>
    <w:rPr>
      <w:rFonts w:ascii="Arial" w:hAnsi="Arial" w:eastAsia="Arial" w:cs="Arial"/>
      <w:b/>
      <w:bCs/>
      <w:sz w:val="22"/>
      <w:szCs w:val="22"/>
    </w:rPr>
  </w:style>
  <w:style w:type="paragraph" w:styleId="831">
    <w:name w:val="Heading 7"/>
    <w:basedOn w:val="824"/>
    <w:next w:val="824"/>
    <w:link w:val="855"/>
    <w:uiPriority w:val="9"/>
    <w:unhideWhenUsed/>
    <w:qFormat/>
    <w:pPr>
      <w:keepLines/>
      <w:keepNext/>
      <w:spacing w:before="320" w:after="200"/>
      <w:outlineLvl w:val="6"/>
    </w:pPr>
    <w:rPr>
      <w:rFonts w:ascii="Arial" w:hAnsi="Arial" w:eastAsia="Arial" w:cs="Arial"/>
      <w:b/>
      <w:bCs/>
      <w:i/>
      <w:iCs/>
      <w:sz w:val="22"/>
      <w:szCs w:val="22"/>
    </w:rPr>
  </w:style>
  <w:style w:type="paragraph" w:styleId="832">
    <w:name w:val="Heading 8"/>
    <w:basedOn w:val="824"/>
    <w:next w:val="824"/>
    <w:link w:val="856"/>
    <w:uiPriority w:val="9"/>
    <w:unhideWhenUsed/>
    <w:qFormat/>
    <w:pPr>
      <w:keepLines/>
      <w:keepNext/>
      <w:spacing w:before="320" w:after="200"/>
      <w:outlineLvl w:val="7"/>
    </w:pPr>
    <w:rPr>
      <w:rFonts w:ascii="Arial" w:hAnsi="Arial" w:eastAsia="Arial" w:cs="Arial"/>
      <w:i/>
      <w:iCs/>
      <w:sz w:val="22"/>
      <w:szCs w:val="22"/>
    </w:rPr>
  </w:style>
  <w:style w:type="paragraph" w:styleId="833">
    <w:name w:val="Heading 9"/>
    <w:basedOn w:val="824"/>
    <w:next w:val="824"/>
    <w:link w:val="857"/>
    <w:uiPriority w:val="9"/>
    <w:unhideWhenUsed/>
    <w:qFormat/>
    <w:pPr>
      <w:keepLines/>
      <w:keepNext/>
      <w:spacing w:before="320" w:after="200"/>
      <w:outlineLvl w:val="8"/>
    </w:pPr>
    <w:rPr>
      <w:rFonts w:ascii="Arial" w:hAnsi="Arial" w:eastAsia="Arial" w:cs="Arial"/>
      <w:i/>
      <w:iCs/>
      <w:sz w:val="21"/>
      <w:szCs w:val="21"/>
    </w:rPr>
  </w:style>
  <w:style w:type="character" w:styleId="834" w:default="1">
    <w:name w:val="Default Paragraph Font"/>
    <w:uiPriority w:val="1"/>
    <w:semiHidden/>
    <w:unhideWhenUsed/>
  </w:style>
  <w:style w:type="table" w:styleId="835" w:default="1">
    <w:name w:val="Normal Table"/>
    <w:uiPriority w:val="99"/>
    <w:semiHidden/>
    <w:unhideWhenUsed/>
    <w:tblPr>
      <w:tblInd w:w="0" w:type="dxa"/>
      <w:tblCellMar>
        <w:left w:w="108" w:type="dxa"/>
        <w:top w:w="0" w:type="dxa"/>
        <w:right w:w="108" w:type="dxa"/>
        <w:bottom w:w="0" w:type="dxa"/>
      </w:tblCellMar>
    </w:tblPr>
  </w:style>
  <w:style w:type="numbering" w:styleId="836" w:default="1">
    <w:name w:val="No List"/>
    <w:uiPriority w:val="99"/>
    <w:semiHidden/>
    <w:unhideWhenUsed/>
  </w:style>
  <w:style w:type="character" w:styleId="837" w:customStyle="1">
    <w:name w:val="Heading 2 Char"/>
    <w:basedOn w:val="834"/>
    <w:uiPriority w:val="9"/>
    <w:rPr>
      <w:rFonts w:ascii="Arial" w:hAnsi="Arial" w:eastAsia="Arial" w:cs="Arial"/>
      <w:sz w:val="34"/>
    </w:rPr>
  </w:style>
  <w:style w:type="character" w:styleId="838" w:customStyle="1">
    <w:name w:val="Heading 5 Char"/>
    <w:basedOn w:val="834"/>
    <w:uiPriority w:val="9"/>
    <w:rPr>
      <w:rFonts w:ascii="Arial" w:hAnsi="Arial" w:eastAsia="Arial" w:cs="Arial"/>
      <w:b/>
      <w:bCs/>
      <w:sz w:val="24"/>
      <w:szCs w:val="24"/>
    </w:rPr>
  </w:style>
  <w:style w:type="character" w:styleId="839" w:customStyle="1">
    <w:name w:val="Heading 6 Char"/>
    <w:basedOn w:val="834"/>
    <w:uiPriority w:val="9"/>
    <w:rPr>
      <w:rFonts w:ascii="Arial" w:hAnsi="Arial" w:eastAsia="Arial" w:cs="Arial"/>
      <w:b/>
      <w:bCs/>
      <w:sz w:val="22"/>
      <w:szCs w:val="22"/>
    </w:rPr>
  </w:style>
  <w:style w:type="character" w:styleId="840" w:customStyle="1">
    <w:name w:val="Heading 7 Char"/>
    <w:basedOn w:val="834"/>
    <w:uiPriority w:val="9"/>
    <w:rPr>
      <w:rFonts w:ascii="Arial" w:hAnsi="Arial" w:eastAsia="Arial" w:cs="Arial"/>
      <w:b/>
      <w:bCs/>
      <w:i/>
      <w:iCs/>
      <w:sz w:val="22"/>
      <w:szCs w:val="22"/>
    </w:rPr>
  </w:style>
  <w:style w:type="character" w:styleId="841" w:customStyle="1">
    <w:name w:val="Heading 8 Char"/>
    <w:basedOn w:val="834"/>
    <w:uiPriority w:val="9"/>
    <w:rPr>
      <w:rFonts w:ascii="Arial" w:hAnsi="Arial" w:eastAsia="Arial" w:cs="Arial"/>
      <w:i/>
      <w:iCs/>
      <w:sz w:val="22"/>
      <w:szCs w:val="22"/>
    </w:rPr>
  </w:style>
  <w:style w:type="character" w:styleId="842" w:customStyle="1">
    <w:name w:val="Heading 9 Char"/>
    <w:basedOn w:val="834"/>
    <w:uiPriority w:val="9"/>
    <w:rPr>
      <w:rFonts w:ascii="Arial" w:hAnsi="Arial" w:eastAsia="Arial" w:cs="Arial"/>
      <w:i/>
      <w:iCs/>
      <w:sz w:val="21"/>
      <w:szCs w:val="21"/>
    </w:rPr>
  </w:style>
  <w:style w:type="character" w:styleId="843" w:customStyle="1">
    <w:name w:val="Title Char"/>
    <w:basedOn w:val="834"/>
    <w:uiPriority w:val="10"/>
    <w:rPr>
      <w:sz w:val="48"/>
      <w:szCs w:val="48"/>
    </w:rPr>
  </w:style>
  <w:style w:type="character" w:styleId="844" w:customStyle="1">
    <w:name w:val="Subtitle Char"/>
    <w:basedOn w:val="834"/>
    <w:uiPriority w:val="11"/>
    <w:rPr>
      <w:sz w:val="24"/>
      <w:szCs w:val="24"/>
    </w:rPr>
  </w:style>
  <w:style w:type="character" w:styleId="845" w:customStyle="1">
    <w:name w:val="Quote Char"/>
    <w:uiPriority w:val="29"/>
    <w:rPr>
      <w:i/>
    </w:rPr>
  </w:style>
  <w:style w:type="character" w:styleId="846" w:customStyle="1">
    <w:name w:val="Intense Quote Char"/>
    <w:uiPriority w:val="30"/>
    <w:rPr>
      <w:i/>
    </w:rPr>
  </w:style>
  <w:style w:type="character" w:styleId="847" w:customStyle="1">
    <w:name w:val="Footnote Text Char"/>
    <w:uiPriority w:val="99"/>
    <w:rPr>
      <w:sz w:val="18"/>
    </w:rPr>
  </w:style>
  <w:style w:type="character" w:styleId="848" w:customStyle="1">
    <w:name w:val="Endnote Text Char"/>
    <w:uiPriority w:val="99"/>
    <w:rPr>
      <w:sz w:val="20"/>
    </w:rPr>
  </w:style>
  <w:style w:type="character" w:styleId="849" w:customStyle="1">
    <w:name w:val="Heading 1 Char"/>
    <w:basedOn w:val="834"/>
    <w:uiPriority w:val="9"/>
    <w:rPr>
      <w:rFonts w:ascii="Arial" w:hAnsi="Arial" w:eastAsia="Arial" w:cs="Arial"/>
      <w:sz w:val="40"/>
      <w:szCs w:val="40"/>
    </w:rPr>
  </w:style>
  <w:style w:type="character" w:styleId="850" w:customStyle="1">
    <w:name w:val="Заголовок 2 Знак"/>
    <w:basedOn w:val="834"/>
    <w:link w:val="826"/>
    <w:uiPriority w:val="9"/>
    <w:rPr>
      <w:rFonts w:ascii="Arial" w:hAnsi="Arial" w:eastAsia="Arial" w:cs="Arial"/>
      <w:sz w:val="34"/>
    </w:rPr>
  </w:style>
  <w:style w:type="character" w:styleId="851" w:customStyle="1">
    <w:name w:val="Heading 3 Char"/>
    <w:basedOn w:val="834"/>
    <w:uiPriority w:val="9"/>
    <w:rPr>
      <w:rFonts w:ascii="Arial" w:hAnsi="Arial" w:eastAsia="Arial" w:cs="Arial"/>
      <w:sz w:val="30"/>
      <w:szCs w:val="30"/>
    </w:rPr>
  </w:style>
  <w:style w:type="character" w:styleId="852" w:customStyle="1">
    <w:name w:val="Heading 4 Char"/>
    <w:basedOn w:val="834"/>
    <w:uiPriority w:val="9"/>
    <w:rPr>
      <w:rFonts w:ascii="Arial" w:hAnsi="Arial" w:eastAsia="Arial" w:cs="Arial"/>
      <w:b/>
      <w:bCs/>
      <w:sz w:val="26"/>
      <w:szCs w:val="26"/>
    </w:rPr>
  </w:style>
  <w:style w:type="character" w:styleId="853" w:customStyle="1">
    <w:name w:val="Заголовок 5 Знак"/>
    <w:basedOn w:val="834"/>
    <w:link w:val="829"/>
    <w:uiPriority w:val="9"/>
    <w:rPr>
      <w:rFonts w:ascii="Arial" w:hAnsi="Arial" w:eastAsia="Arial" w:cs="Arial"/>
      <w:b/>
      <w:bCs/>
      <w:sz w:val="24"/>
      <w:szCs w:val="24"/>
    </w:rPr>
  </w:style>
  <w:style w:type="character" w:styleId="854" w:customStyle="1">
    <w:name w:val="Заголовок 6 Знак"/>
    <w:basedOn w:val="834"/>
    <w:link w:val="830"/>
    <w:uiPriority w:val="9"/>
    <w:rPr>
      <w:rFonts w:ascii="Arial" w:hAnsi="Arial" w:eastAsia="Arial" w:cs="Arial"/>
      <w:b/>
      <w:bCs/>
      <w:sz w:val="22"/>
      <w:szCs w:val="22"/>
    </w:rPr>
  </w:style>
  <w:style w:type="character" w:styleId="855" w:customStyle="1">
    <w:name w:val="Заголовок 7 Знак"/>
    <w:basedOn w:val="834"/>
    <w:link w:val="831"/>
    <w:uiPriority w:val="9"/>
    <w:rPr>
      <w:rFonts w:ascii="Arial" w:hAnsi="Arial" w:eastAsia="Arial" w:cs="Arial"/>
      <w:b/>
      <w:bCs/>
      <w:i/>
      <w:iCs/>
      <w:sz w:val="22"/>
      <w:szCs w:val="22"/>
    </w:rPr>
  </w:style>
  <w:style w:type="character" w:styleId="856" w:customStyle="1">
    <w:name w:val="Заголовок 8 Знак"/>
    <w:basedOn w:val="834"/>
    <w:link w:val="832"/>
    <w:uiPriority w:val="9"/>
    <w:rPr>
      <w:rFonts w:ascii="Arial" w:hAnsi="Arial" w:eastAsia="Arial" w:cs="Arial"/>
      <w:i/>
      <w:iCs/>
      <w:sz w:val="22"/>
      <w:szCs w:val="22"/>
    </w:rPr>
  </w:style>
  <w:style w:type="character" w:styleId="857" w:customStyle="1">
    <w:name w:val="Заголовок 9 Знак"/>
    <w:basedOn w:val="834"/>
    <w:link w:val="833"/>
    <w:uiPriority w:val="9"/>
    <w:rPr>
      <w:rFonts w:ascii="Arial" w:hAnsi="Arial" w:eastAsia="Arial" w:cs="Arial"/>
      <w:i/>
      <w:iCs/>
      <w:sz w:val="21"/>
      <w:szCs w:val="21"/>
    </w:rPr>
  </w:style>
  <w:style w:type="paragraph" w:styleId="858">
    <w:name w:val="No Spacing"/>
    <w:uiPriority w:val="1"/>
    <w:qFormat/>
    <w:pPr>
      <w:spacing w:after="0" w:line="240" w:lineRule="auto"/>
    </w:pPr>
  </w:style>
  <w:style w:type="paragraph" w:styleId="859">
    <w:name w:val="Title"/>
    <w:basedOn w:val="824"/>
    <w:next w:val="824"/>
    <w:link w:val="860"/>
    <w:uiPriority w:val="10"/>
    <w:qFormat/>
    <w:pPr>
      <w:contextualSpacing/>
      <w:spacing w:before="300" w:after="200"/>
    </w:pPr>
    <w:rPr>
      <w:sz w:val="48"/>
      <w:szCs w:val="48"/>
    </w:rPr>
  </w:style>
  <w:style w:type="character" w:styleId="860" w:customStyle="1">
    <w:name w:val="Название Знак"/>
    <w:basedOn w:val="834"/>
    <w:link w:val="859"/>
    <w:uiPriority w:val="10"/>
    <w:rPr>
      <w:sz w:val="48"/>
      <w:szCs w:val="48"/>
    </w:rPr>
  </w:style>
  <w:style w:type="paragraph" w:styleId="861">
    <w:name w:val="Subtitle"/>
    <w:basedOn w:val="824"/>
    <w:next w:val="824"/>
    <w:link w:val="862"/>
    <w:uiPriority w:val="11"/>
    <w:qFormat/>
    <w:pPr>
      <w:spacing w:before="200" w:after="200"/>
    </w:pPr>
    <w:rPr>
      <w:sz w:val="24"/>
      <w:szCs w:val="24"/>
    </w:rPr>
  </w:style>
  <w:style w:type="character" w:styleId="862" w:customStyle="1">
    <w:name w:val="Подзаголовок Знак"/>
    <w:basedOn w:val="834"/>
    <w:link w:val="861"/>
    <w:uiPriority w:val="11"/>
    <w:rPr>
      <w:sz w:val="24"/>
      <w:szCs w:val="24"/>
    </w:rPr>
  </w:style>
  <w:style w:type="paragraph" w:styleId="863">
    <w:name w:val="Quote"/>
    <w:basedOn w:val="824"/>
    <w:next w:val="824"/>
    <w:link w:val="864"/>
    <w:uiPriority w:val="29"/>
    <w:qFormat/>
    <w:pPr>
      <w:ind w:left="720" w:right="720"/>
    </w:pPr>
    <w:rPr>
      <w:i/>
    </w:rPr>
  </w:style>
  <w:style w:type="character" w:styleId="864" w:customStyle="1">
    <w:name w:val="Цитата 2 Знак"/>
    <w:link w:val="863"/>
    <w:uiPriority w:val="29"/>
    <w:rPr>
      <w:i/>
    </w:rPr>
  </w:style>
  <w:style w:type="paragraph" w:styleId="865">
    <w:name w:val="Intense Quote"/>
    <w:basedOn w:val="824"/>
    <w:next w:val="824"/>
    <w:link w:val="866"/>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66" w:customStyle="1">
    <w:name w:val="Выделенная цитата Знак"/>
    <w:link w:val="865"/>
    <w:uiPriority w:val="30"/>
    <w:rPr>
      <w:i/>
    </w:rPr>
  </w:style>
  <w:style w:type="character" w:styleId="867" w:customStyle="1">
    <w:name w:val="Header Char"/>
    <w:basedOn w:val="834"/>
    <w:uiPriority w:val="99"/>
  </w:style>
  <w:style w:type="character" w:styleId="868" w:customStyle="1">
    <w:name w:val="Footer Char"/>
    <w:basedOn w:val="834"/>
    <w:uiPriority w:val="99"/>
  </w:style>
  <w:style w:type="paragraph" w:styleId="869">
    <w:name w:val="Caption"/>
    <w:basedOn w:val="824"/>
    <w:next w:val="824"/>
    <w:link w:val="870"/>
    <w:uiPriority w:val="35"/>
    <w:semiHidden/>
    <w:unhideWhenUsed/>
    <w:qFormat/>
    <w:pPr>
      <w:spacing w:line="276" w:lineRule="auto"/>
    </w:pPr>
    <w:rPr>
      <w:b/>
      <w:bCs/>
      <w:color w:val="5b9bd5" w:themeColor="accent1"/>
      <w:sz w:val="18"/>
      <w:szCs w:val="18"/>
    </w:rPr>
  </w:style>
  <w:style w:type="character" w:styleId="870" w:customStyle="1">
    <w:name w:val="Caption Char"/>
    <w:uiPriority w:val="99"/>
  </w:style>
  <w:style w:type="table" w:styleId="871" w:customStyle="1">
    <w:name w:val="Table Grid Light"/>
    <w:basedOn w:val="835"/>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872" w:customStyle="1">
    <w:name w:val="Plain Table 1"/>
    <w:basedOn w:val="835"/>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73" w:customStyle="1">
    <w:name w:val="Plain Table 2"/>
    <w:basedOn w:val="835"/>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74" w:customStyle="1">
    <w:name w:val="Plain Table 3"/>
    <w:basedOn w:val="835"/>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75" w:customStyle="1">
    <w:name w:val="Plain Table 4"/>
    <w:basedOn w:val="835"/>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76" w:customStyle="1">
    <w:name w:val="Plain Table 5"/>
    <w:basedOn w:val="835"/>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877" w:customStyle="1">
    <w:name w:val="Grid Table 1 Light"/>
    <w:basedOn w:val="835"/>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878" w:customStyle="1">
    <w:name w:val="Grid Table 1 Light - Accent 1"/>
    <w:basedOn w:val="835"/>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b/>
        <w:color w:val="404040"/>
      </w:rPr>
    </w:tblStylePr>
    <w:tblStylePr w:type="firstRow">
      <w:rPr>
        <w:b/>
        <w:color w:val="404040"/>
      </w:rPr>
      <w:tcPr>
        <w:tcBorders>
          <w:bottom w:val="single" w:color="9EC4E6" w:themeColor="accent1" w:themeTint="95" w:sz="12" w:space="0"/>
        </w:tcBorders>
      </w:tcPr>
    </w:tblStylePr>
    <w:tblStylePr w:type="lastCol">
      <w:rPr>
        <w:b/>
        <w:color w:val="404040"/>
      </w:rPr>
    </w:tblStylePr>
    <w:tblStylePr w:type="lastRow">
      <w:rPr>
        <w:b/>
        <w:color w:val="404040"/>
      </w:rPr>
    </w:tblStylePr>
  </w:style>
  <w:style w:type="table" w:styleId="879" w:customStyle="1">
    <w:name w:val="Grid Table 1 Light - Accent 2"/>
    <w:basedOn w:val="835"/>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b/>
        <w:color w:val="404040"/>
      </w:rPr>
    </w:tblStylePr>
    <w:tblStylePr w:type="firstRow">
      <w:rPr>
        <w:b/>
        <w:color w:val="404040"/>
      </w:rPr>
      <w:tcPr>
        <w:tcBorders>
          <w:bottom w:val="single" w:color="F4B286" w:themeColor="accent2" w:themeTint="95" w:sz="12" w:space="0"/>
        </w:tcBorders>
      </w:tcPr>
    </w:tblStylePr>
    <w:tblStylePr w:type="lastCol">
      <w:rPr>
        <w:b/>
        <w:color w:val="404040"/>
      </w:rPr>
    </w:tblStylePr>
    <w:tblStylePr w:type="lastRow">
      <w:rPr>
        <w:b/>
        <w:color w:val="404040"/>
      </w:rPr>
    </w:tblStylePr>
  </w:style>
  <w:style w:type="table" w:styleId="880" w:customStyle="1">
    <w:name w:val="Grid Table 1 Light - Accent 3"/>
    <w:basedOn w:val="835"/>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b/>
        <w:color w:val="404040"/>
      </w:rPr>
    </w:tblStylePr>
    <w:tblStylePr w:type="firstRow">
      <w:rPr>
        <w:b/>
        <w:color w:val="404040"/>
      </w:rPr>
      <w:tcPr>
        <w:tcBorders>
          <w:bottom w:val="single" w:color="CACACA" w:themeColor="accent3" w:themeTint="95" w:sz="12" w:space="0"/>
        </w:tcBorders>
      </w:tcPr>
    </w:tblStylePr>
    <w:tblStylePr w:type="lastCol">
      <w:rPr>
        <w:b/>
        <w:color w:val="404040"/>
      </w:rPr>
    </w:tblStylePr>
    <w:tblStylePr w:type="lastRow">
      <w:rPr>
        <w:b/>
        <w:color w:val="404040"/>
      </w:rPr>
    </w:tblStylePr>
  </w:style>
  <w:style w:type="table" w:styleId="881" w:customStyle="1">
    <w:name w:val="Grid Table 1 Light - Accent 4"/>
    <w:basedOn w:val="835"/>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b/>
        <w:color w:val="404040"/>
      </w:rPr>
    </w:tblStylePr>
    <w:tblStylePr w:type="firstRow">
      <w:rPr>
        <w:b/>
        <w:color w:val="404040"/>
      </w:rPr>
      <w:tcPr>
        <w:tcBorders>
          <w:bottom w:val="single" w:color="FFDA6A" w:themeColor="accent4" w:themeTint="95" w:sz="12" w:space="0"/>
        </w:tcBorders>
      </w:tcPr>
    </w:tblStylePr>
    <w:tblStylePr w:type="lastCol">
      <w:rPr>
        <w:b/>
        <w:color w:val="404040"/>
      </w:rPr>
    </w:tblStylePr>
    <w:tblStylePr w:type="lastRow">
      <w:rPr>
        <w:b/>
        <w:color w:val="404040"/>
      </w:rPr>
    </w:tblStylePr>
  </w:style>
  <w:style w:type="table" w:styleId="882" w:customStyle="1">
    <w:name w:val="Grid Table 1 Light - Accent 5"/>
    <w:basedOn w:val="835"/>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b/>
        <w:color w:val="404040"/>
      </w:rPr>
    </w:tblStylePr>
    <w:tblStylePr w:type="firstRow">
      <w:rPr>
        <w:b/>
        <w:color w:val="404040"/>
      </w:rPr>
      <w:tcPr>
        <w:tcBorders>
          <w:bottom w:val="single" w:color="91ACDC" w:themeColor="accent5" w:themeTint="95" w:sz="12" w:space="0"/>
        </w:tcBorders>
      </w:tcPr>
    </w:tblStylePr>
    <w:tblStylePr w:type="lastCol">
      <w:rPr>
        <w:b/>
        <w:color w:val="404040"/>
      </w:rPr>
    </w:tblStylePr>
    <w:tblStylePr w:type="lastRow">
      <w:rPr>
        <w:b/>
        <w:color w:val="404040"/>
      </w:rPr>
    </w:tblStylePr>
  </w:style>
  <w:style w:type="table" w:styleId="883" w:customStyle="1">
    <w:name w:val="Grid Table 1 Light - Accent 6"/>
    <w:basedOn w:val="835"/>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b/>
        <w:color w:val="404040"/>
      </w:rPr>
    </w:tblStylePr>
    <w:tblStylePr w:type="firstRow">
      <w:rPr>
        <w:b/>
        <w:color w:val="404040"/>
      </w:rPr>
      <w:tcPr>
        <w:tcBorders>
          <w:bottom w:val="single" w:color="AAD190" w:themeColor="accent6" w:themeTint="95" w:sz="12" w:space="0"/>
        </w:tcBorders>
      </w:tcPr>
    </w:tblStylePr>
    <w:tblStylePr w:type="lastCol">
      <w:rPr>
        <w:b/>
        <w:color w:val="404040"/>
      </w:rPr>
    </w:tblStylePr>
    <w:tblStylePr w:type="lastRow">
      <w:rPr>
        <w:b/>
        <w:color w:val="404040"/>
      </w:rPr>
    </w:tblStylePr>
  </w:style>
  <w:style w:type="table" w:styleId="884" w:customStyle="1">
    <w:name w:val="Grid Table 2"/>
    <w:basedOn w:val="835"/>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885" w:customStyle="1">
    <w:name w:val="Grid Table 2 - Accent 1"/>
    <w:basedOn w:val="835"/>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style>
  <w:style w:type="table" w:styleId="886" w:customStyle="1">
    <w:name w:val="Grid Table 2 - Accent 2"/>
    <w:basedOn w:val="835"/>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style>
  <w:style w:type="table" w:styleId="887" w:customStyle="1">
    <w:name w:val="Grid Table 2 - Accent 3"/>
    <w:basedOn w:val="835"/>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style>
  <w:style w:type="table" w:styleId="888" w:customStyle="1">
    <w:name w:val="Grid Table 2 - Accent 4"/>
    <w:basedOn w:val="835"/>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style>
  <w:style w:type="table" w:styleId="889" w:customStyle="1">
    <w:name w:val="Grid Table 2 - Accent 5"/>
    <w:basedOn w:val="835"/>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472C4" w:themeColor="accent5" w:sz="4" w:space="0"/>
          <w:left w:val="none" w:color="000000" w:sz="4" w:space="0"/>
          <w:bottom w:val="none" w:color="000000" w:sz="4" w:space="0"/>
          <w:right w:val="none" w:color="000000" w:sz="4" w:space="0"/>
        </w:tcBorders>
      </w:tcPr>
    </w:tblStylePr>
  </w:style>
  <w:style w:type="table" w:styleId="890" w:customStyle="1">
    <w:name w:val="Grid Table 2 - Accent 6"/>
    <w:basedOn w:val="835"/>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891" w:customStyle="1">
    <w:name w:val="Grid Table 3"/>
    <w:basedOn w:val="835"/>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92" w:customStyle="1">
    <w:name w:val="Grid Table 3 - Accent 1"/>
    <w:basedOn w:val="835"/>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93" w:customStyle="1">
    <w:name w:val="Grid Table 3 - Accent 2"/>
    <w:basedOn w:val="835"/>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94" w:customStyle="1">
    <w:name w:val="Grid Table 3 - Accent 3"/>
    <w:basedOn w:val="835"/>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95" w:customStyle="1">
    <w:name w:val="Grid Table 3 - Accent 4"/>
    <w:basedOn w:val="835"/>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96" w:customStyle="1">
    <w:name w:val="Grid Table 3 - Accent 5"/>
    <w:basedOn w:val="835"/>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97" w:customStyle="1">
    <w:name w:val="Grid Table 3 - Accent 6"/>
    <w:basedOn w:val="835"/>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98" w:customStyle="1">
    <w:name w:val="Grid Table 4"/>
    <w:basedOn w:val="835"/>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99" w:customStyle="1">
    <w:name w:val="Grid Table 4 - Accent 1"/>
    <w:basedOn w:val="835"/>
    <w:uiPriority w:val="5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band1Horz">
      <w:rPr>
        <w:rFonts w:ascii="Arial" w:hAnsi="Arial"/>
        <w:color w:val="404040"/>
        <w:sz w:val="22"/>
      </w:rPr>
      <w:tcPr>
        <w:shd w:val="clear" w:color="deebf6" w:themeColor="accent1" w:themeTint="32" w:fill="deebf6" w:themeFill="accent1" w:themeFillTint="32"/>
      </w:tcPr>
    </w:tblStylePr>
    <w:tblStylePr w:type="band1Vert">
      <w:rPr>
        <w:rFonts w:ascii="Arial" w:hAnsi="Arial"/>
        <w:color w:val="404040"/>
        <w:sz w:val="22"/>
      </w:rPr>
      <w:tcPr>
        <w:shd w:val="clear" w:color="deebf6" w:themeColor="accent1" w:themeTint="32" w:fill="deebf6" w:themeFill="accent1" w:themeFillTint="32"/>
      </w:tcPr>
    </w:tblStylePr>
    <w:tblStylePr w:type="firstCol">
      <w:rPr>
        <w:b/>
        <w:color w:val="404040"/>
      </w:rPr>
    </w:tblStylePr>
    <w:tblStylePr w:type="firstRow">
      <w:rPr>
        <w:rFonts w:ascii="Arial" w:hAnsi="Arial"/>
        <w:b/>
        <w:color w:val="ffffff"/>
        <w:sz w:val="22"/>
      </w:r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tblStylePr>
    <w:tblStylePr w:type="lastRow">
      <w:rPr>
        <w:b/>
        <w:color w:val="404040"/>
      </w:rPr>
      <w:tcPr>
        <w:tcBorders>
          <w:top w:val="single" w:color="68A2D8" w:themeColor="accent1" w:themeTint="EA" w:sz="4" w:space="0"/>
        </w:tcBorders>
      </w:tcPr>
    </w:tblStylePr>
  </w:style>
  <w:style w:type="table" w:styleId="900" w:customStyle="1">
    <w:name w:val="Grid Table 4 - Accent 2"/>
    <w:basedOn w:val="835"/>
    <w:uiPriority w:val="5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tblStylePr>
    <w:tblStylePr w:type="lastRow">
      <w:rPr>
        <w:b/>
        <w:color w:val="404040"/>
      </w:rPr>
      <w:tcPr>
        <w:tcBorders>
          <w:top w:val="single" w:color="F4B184" w:themeColor="accent2" w:themeTint="97" w:sz="4" w:space="0"/>
        </w:tcBorders>
      </w:tcPr>
    </w:tblStylePr>
  </w:style>
  <w:style w:type="table" w:styleId="901" w:customStyle="1">
    <w:name w:val="Grid Table 4 - Accent 3"/>
    <w:basedOn w:val="835"/>
    <w:uiPriority w:val="5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rFonts w:ascii="Arial" w:hAnsi="Arial"/>
        <w:b/>
        <w:color w:val="ffffff"/>
        <w:sz w:val="22"/>
      </w:r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tblStylePr>
    <w:tblStylePr w:type="lastRow">
      <w:rPr>
        <w:b/>
        <w:color w:val="404040"/>
      </w:rPr>
      <w:tcPr>
        <w:tcBorders>
          <w:top w:val="single" w:color="A5A5A5" w:themeColor="accent3" w:themeTint="FE" w:sz="4" w:space="0"/>
        </w:tcBorders>
      </w:tcPr>
    </w:tblStylePr>
  </w:style>
  <w:style w:type="table" w:styleId="902" w:customStyle="1">
    <w:name w:val="Grid Table 4 - Accent 4"/>
    <w:basedOn w:val="835"/>
    <w:uiPriority w:val="5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tblStylePr>
    <w:tblStylePr w:type="lastRow">
      <w:rPr>
        <w:b/>
        <w:color w:val="404040"/>
      </w:rPr>
      <w:tcPr>
        <w:tcBorders>
          <w:top w:val="single" w:color="FFD865" w:themeColor="accent4" w:themeTint="9A" w:sz="4" w:space="0"/>
        </w:tcBorders>
      </w:tcPr>
    </w:tblStylePr>
  </w:style>
  <w:style w:type="table" w:styleId="903" w:customStyle="1">
    <w:name w:val="Grid Table 4 - Accent 5"/>
    <w:basedOn w:val="835"/>
    <w:uiPriority w:val="5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rFonts w:ascii="Arial" w:hAnsi="Arial"/>
        <w:b/>
        <w:color w:val="ffffff"/>
        <w:sz w:val="22"/>
      </w:r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tblStylePr>
    <w:tblStylePr w:type="lastRow">
      <w:rPr>
        <w:b/>
        <w:color w:val="404040"/>
      </w:rPr>
      <w:tcPr>
        <w:tcBorders>
          <w:top w:val="single" w:color="4472C4" w:themeColor="accent5" w:sz="4" w:space="0"/>
        </w:tcBorders>
      </w:tcPr>
    </w:tblStylePr>
  </w:style>
  <w:style w:type="table" w:styleId="904" w:customStyle="1">
    <w:name w:val="Grid Table 4 - Accent 6"/>
    <w:basedOn w:val="835"/>
    <w:uiPriority w:val="5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rFonts w:ascii="Arial" w:hAnsi="Arial"/>
        <w:b/>
        <w:color w:val="ffffff"/>
        <w:sz w:val="22"/>
      </w:r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905" w:customStyle="1">
    <w:name w:val="Grid Table 5 Dark"/>
    <w:basedOn w:val="835"/>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906" w:customStyle="1">
    <w:name w:val="Grid Table 5 Dark- Accent 1"/>
    <w:basedOn w:val="835"/>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blStylePr w:type="band1Horz">
      <w:tcPr>
        <w:shd w:val="clear" w:color="b3d0eb" w:themeColor="accent1" w:themeTint="75" w:fill="b3d0eb" w:themeFill="accent1" w:themeFillTint="75"/>
      </w:tcPr>
    </w:tblStylePr>
    <w:tblStylePr w:type="band1Vert">
      <w:tcPr>
        <w:shd w:val="clear" w:color="b3d0eb" w:themeColor="accent1" w:themeTint="75" w:fill="b3d0eb" w:themeFill="accent1" w:themeFillTint="75"/>
      </w:tcPr>
    </w:tblStylePr>
    <w:tblStylePr w:type="firstCol">
      <w:rPr>
        <w:rFonts w:ascii="Arial" w:hAnsi="Arial"/>
        <w:b/>
        <w:color w:val="ffffff"/>
        <w:sz w:val="22"/>
      </w:rPr>
      <w:tcPr>
        <w:shd w:val="clear" w:color="5b9bd5" w:themeColor="accent1" w:fill="5b9bd5" w:themeFill="accent1"/>
      </w:tcPr>
    </w:tblStylePr>
    <w:tblStylePr w:type="firstRow">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shd w:val="clear" w:color="5b9bd5" w:themeColor="accent1" w:fill="5b9bd5" w:themeFill="accent1"/>
        <w:tcBorders>
          <w:top w:val="single" w:color="FFFFFF" w:themeColor="light1" w:sz="4" w:space="0"/>
        </w:tcBorders>
      </w:tcPr>
    </w:tblStylePr>
  </w:style>
  <w:style w:type="table" w:styleId="907" w:customStyle="1">
    <w:name w:val="Grid Table 5 Dark - Accent 2"/>
    <w:basedOn w:val="835"/>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band1Horz">
      <w:tcPr>
        <w:shd w:val="clear" w:color="f6c3a0" w:themeColor="accent2" w:themeTint="75" w:fill="f6c3a0" w:themeFill="accent2" w:themeFillTint="75"/>
      </w:tcPr>
    </w:tblStylePr>
    <w:tblStylePr w:type="band1Vert">
      <w:tcPr>
        <w:shd w:val="clear" w:color="f6c3a0" w:themeColor="accent2" w:themeTint="75" w:fill="f6c3a0" w:themeFill="accent2" w:themeFillTint="75"/>
      </w:tcPr>
    </w:tblStylePr>
    <w:tblStylePr w:type="firstCol">
      <w:rPr>
        <w:rFonts w:ascii="Arial" w:hAnsi="Arial"/>
        <w:b/>
        <w:color w:val="ffffff"/>
        <w:sz w:val="22"/>
      </w:rPr>
      <w:tcPr>
        <w:shd w:val="clear" w:color="ed7d31" w:themeColor="accent2" w:fill="ed7d31" w:themeFill="accent2"/>
      </w:tcPr>
    </w:tblStylePr>
    <w:tblStylePr w:type="firstRow">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shd w:val="clear" w:color="ed7d31" w:themeColor="accent2" w:fill="ed7d31" w:themeFill="accent2"/>
        <w:tcBorders>
          <w:top w:val="single" w:color="FFFFFF" w:themeColor="light1" w:sz="4" w:space="0"/>
        </w:tcBorders>
      </w:tcPr>
    </w:tblStylePr>
  </w:style>
  <w:style w:type="table" w:styleId="908" w:customStyle="1">
    <w:name w:val="Grid Table 5 Dark - Accent 3"/>
    <w:basedOn w:val="835"/>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band1Horz">
      <w:tcPr>
        <w:shd w:val="clear" w:color="d5d5d5" w:themeColor="accent3" w:themeTint="75" w:fill="d5d5d5" w:themeFill="accent3" w:themeFillTint="75"/>
      </w:tcPr>
    </w:tblStylePr>
    <w:tblStylePr w:type="band1Vert">
      <w:tcPr>
        <w:shd w:val="clear" w:color="d5d5d5" w:themeColor="accent3" w:themeTint="75" w:fill="d5d5d5" w:themeFill="accent3" w:themeFillTint="75"/>
      </w:tcPr>
    </w:tblStylePr>
    <w:tblStylePr w:type="firstCol">
      <w:rPr>
        <w:rFonts w:ascii="Arial" w:hAnsi="Arial"/>
        <w:b/>
        <w:color w:val="ffffff"/>
        <w:sz w:val="22"/>
      </w:rPr>
      <w:tcPr>
        <w:shd w:val="clear" w:color="a5a5a5" w:themeColor="accent3" w:fill="a5a5a5" w:themeFill="accent3"/>
      </w:tcPr>
    </w:tblStylePr>
    <w:tblStylePr w:type="firstRow">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shd w:val="clear" w:color="a5a5a5" w:themeColor="accent3" w:fill="a5a5a5" w:themeFill="accent3"/>
        <w:tcBorders>
          <w:top w:val="single" w:color="FFFFFF" w:themeColor="light1" w:sz="4" w:space="0"/>
        </w:tcBorders>
      </w:tcPr>
    </w:tblStylePr>
  </w:style>
  <w:style w:type="table" w:styleId="909" w:customStyle="1">
    <w:name w:val="Grid Table 5 Dark- Accent 4"/>
    <w:basedOn w:val="835"/>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band1Horz">
      <w:tcPr>
        <w:shd w:val="clear" w:color="ffe28a" w:themeColor="accent4" w:themeTint="75" w:fill="ffe28a" w:themeFill="accent4" w:themeFillTint="75"/>
      </w:tcPr>
    </w:tblStylePr>
    <w:tblStylePr w:type="band1Vert">
      <w:tcPr>
        <w:shd w:val="clear" w:color="ffe28a" w:themeColor="accent4" w:themeTint="75" w:fill="ffe28a" w:themeFill="accent4" w:themeFillTint="75"/>
      </w:tcPr>
    </w:tblStylePr>
    <w:tblStylePr w:type="firstCol">
      <w:rPr>
        <w:rFonts w:ascii="Arial" w:hAnsi="Arial"/>
        <w:b/>
        <w:color w:val="ffffff"/>
        <w:sz w:val="22"/>
      </w:rPr>
      <w:tcPr>
        <w:shd w:val="clear" w:color="ffc000" w:themeColor="accent4" w:fill="ffc000" w:themeFill="accent4"/>
      </w:tcPr>
    </w:tblStylePr>
    <w:tblStylePr w:type="firstRow">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shd w:val="clear" w:color="ffc000" w:themeColor="accent4" w:fill="ffc000" w:themeFill="accent4"/>
        <w:tcBorders>
          <w:top w:val="single" w:color="FFFFFF" w:themeColor="light1" w:sz="4" w:space="0"/>
        </w:tcBorders>
      </w:tcPr>
    </w:tblStylePr>
  </w:style>
  <w:style w:type="table" w:styleId="910" w:customStyle="1">
    <w:name w:val="Grid Table 5 Dark - Accent 5"/>
    <w:basedOn w:val="835"/>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blStylePr w:type="band1Horz">
      <w:tcPr>
        <w:shd w:val="clear" w:color="a9bee4" w:themeColor="accent5" w:themeTint="75" w:fill="a9bee4" w:themeFill="accent5" w:themeFillTint="75"/>
      </w:tcPr>
    </w:tblStylePr>
    <w:tblStylePr w:type="band1Vert">
      <w:tcPr>
        <w:shd w:val="clear" w:color="a9bee4" w:themeColor="accent5" w:themeTint="75" w:fill="a9bee4" w:themeFill="accent5" w:themeFillTint="75"/>
      </w:tcPr>
    </w:tblStylePr>
    <w:tblStylePr w:type="firstCol">
      <w:rPr>
        <w:rFonts w:ascii="Arial" w:hAnsi="Arial"/>
        <w:b/>
        <w:color w:val="ffffff"/>
        <w:sz w:val="22"/>
      </w:rPr>
      <w:tcPr>
        <w:shd w:val="clear" w:color="4472c4" w:themeColor="accent5" w:fill="4472c4" w:themeFill="accent5"/>
      </w:tcPr>
    </w:tblStylePr>
    <w:tblStylePr w:type="firstRow">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shd w:val="clear" w:color="4472c4" w:themeColor="accent5" w:fill="4472c4" w:themeFill="accent5"/>
        <w:tcBorders>
          <w:top w:val="single" w:color="FFFFFF" w:themeColor="light1" w:sz="4" w:space="0"/>
        </w:tcBorders>
      </w:tcPr>
    </w:tblStylePr>
  </w:style>
  <w:style w:type="table" w:styleId="911" w:customStyle="1">
    <w:name w:val="Grid Table 5 Dark - Accent 6"/>
    <w:basedOn w:val="835"/>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band1Horz">
      <w:tcPr>
        <w:shd w:val="clear" w:color="bcdba8" w:themeColor="accent6" w:themeTint="75" w:fill="bcdba8" w:themeFill="accent6" w:themeFillTint="75"/>
      </w:tcPr>
    </w:tblStylePr>
    <w:tblStylePr w:type="band1Vert">
      <w:tcPr>
        <w:shd w:val="clear" w:color="bcdba8" w:themeColor="accent6" w:themeTint="75" w:fill="bcdba8" w:themeFill="accent6" w:themeFillTint="75"/>
      </w:tcPr>
    </w:tblStylePr>
    <w:tblStylePr w:type="firstCol">
      <w:rPr>
        <w:rFonts w:ascii="Arial" w:hAnsi="Arial"/>
        <w:b/>
        <w:color w:val="ffffff"/>
        <w:sz w:val="22"/>
      </w:rPr>
      <w:tcPr>
        <w:shd w:val="clear" w:color="70ad47" w:themeColor="accent6" w:fill="70ad47" w:themeFill="accent6"/>
      </w:tcPr>
    </w:tblStylePr>
    <w:tblStylePr w:type="firstRow">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shd w:val="clear" w:color="70ad47" w:themeColor="accent6" w:fill="70ad47" w:themeFill="accent6"/>
        <w:tcBorders>
          <w:top w:val="single" w:color="FFFFFF" w:themeColor="light1" w:sz="4" w:space="0"/>
        </w:tcBorders>
      </w:tcPr>
    </w:tblStylePr>
  </w:style>
  <w:style w:type="table" w:styleId="912" w:customStyle="1">
    <w:name w:val="Grid Table 6 Colorful"/>
    <w:basedOn w:val="835"/>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913" w:customStyle="1">
    <w:name w:val="Grid Table 6 Colorful - Accent 1"/>
    <w:basedOn w:val="835"/>
    <w:uiPriority w:val="99"/>
    <w:pPr>
      <w:spacing w:after="0" w:line="240" w:lineRule="auto"/>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b/>
        <w:color w:val="acccea" w:themeColor="accent1" w:themeTint="80" w:themeShade="95"/>
      </w:rPr>
    </w:tblStylePr>
    <w:tblStylePr w:type="firstRow">
      <w:rPr>
        <w:b/>
        <w:color w:val="acccea" w:themeColor="accent1" w:themeTint="80" w:themeShade="95"/>
      </w:rPr>
      <w:tcPr>
        <w:tcBorders>
          <w:bottom w:val="single" w:color="ACCCEA" w:themeColor="accent1" w:themeTint="80" w:sz="12" w:space="0"/>
        </w:tcBorders>
      </w:tcPr>
    </w:tblStylePr>
    <w:tblStylePr w:type="lastCol">
      <w:rPr>
        <w:b/>
        <w:color w:val="acccea" w:themeColor="accent1" w:themeTint="80" w:themeShade="95"/>
      </w:rPr>
    </w:tblStylePr>
    <w:tblStylePr w:type="lastRow">
      <w:rPr>
        <w:b/>
        <w:color w:val="acccea" w:themeColor="accent1" w:themeTint="80" w:themeShade="95"/>
      </w:rPr>
    </w:tblStylePr>
  </w:style>
  <w:style w:type="table" w:styleId="914" w:customStyle="1">
    <w:name w:val="Grid Table 6 Colorful - Accent 2"/>
    <w:basedOn w:val="835"/>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915" w:customStyle="1">
    <w:name w:val="Grid Table 6 Colorful - Accent 3"/>
    <w:basedOn w:val="835"/>
    <w:uiPriority w:val="99"/>
    <w:pPr>
      <w:spacing w:after="0" w:line="240" w:lineRule="auto"/>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themeTint="FE"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916" w:customStyle="1">
    <w:name w:val="Grid Table 6 Colorful - Accent 4"/>
    <w:basedOn w:val="835"/>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917" w:customStyle="1">
    <w:name w:val="Grid Table 6 Colorful - Accent 5"/>
    <w:basedOn w:val="835"/>
    <w:uiPriority w:val="99"/>
    <w:pPr>
      <w:spacing w:after="0" w:line="240" w:lineRule="auto"/>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4472C4" w:themeColor="accent5" w:sz="12" w:space="0"/>
        </w:tcBorders>
      </w:tcPr>
    </w:tblStylePr>
    <w:tblStylePr w:type="lastCol">
      <w:rPr>
        <w:b/>
        <w:color w:val="254175" w:themeColor="accent5" w:themeShade="95"/>
      </w:rPr>
    </w:tblStylePr>
    <w:tblStylePr w:type="lastRow">
      <w:rPr>
        <w:b/>
        <w:color w:val="254175" w:themeColor="accent5" w:themeShade="95"/>
      </w:rPr>
    </w:tblStylePr>
  </w:style>
  <w:style w:type="table" w:styleId="918" w:customStyle="1">
    <w:name w:val="Grid Table 6 Colorful - Accent 6"/>
    <w:basedOn w:val="835"/>
    <w:uiPriority w:val="99"/>
    <w:pPr>
      <w:spacing w:after="0" w:line="240" w:lineRule="auto"/>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254175" w:themeColor="accent5"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70AD47" w:themeColor="accent6" w:sz="12" w:space="0"/>
        </w:tcBorders>
      </w:tcPr>
    </w:tblStylePr>
    <w:tblStylePr w:type="lastCol">
      <w:rPr>
        <w:b/>
        <w:color w:val="254175" w:themeColor="accent5" w:themeShade="95"/>
      </w:rPr>
    </w:tblStylePr>
    <w:tblStylePr w:type="lastRow">
      <w:rPr>
        <w:b/>
        <w:color w:val="254175" w:themeColor="accent5" w:themeShade="95"/>
      </w:rPr>
    </w:tblStylePr>
  </w:style>
  <w:style w:type="table" w:styleId="919" w:customStyle="1">
    <w:name w:val="Grid Table 7 Colorful"/>
    <w:basedOn w:val="835"/>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920" w:customStyle="1">
    <w:name w:val="Grid Table 7 Colorful - Accent 1"/>
    <w:basedOn w:val="835"/>
    <w:uiPriority w:val="99"/>
    <w:pPr>
      <w:spacing w:after="0" w:line="240" w:lineRule="auto"/>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rFonts w:ascii="Arial" w:hAnsi="Arial"/>
        <w:i/>
        <w:color w:val="acccea"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style>
  <w:style w:type="table" w:styleId="921" w:customStyle="1">
    <w:name w:val="Grid Table 7 Colorful - Accent 2"/>
    <w:basedOn w:val="835"/>
    <w:uiPriority w:val="99"/>
    <w:pPr>
      <w:spacing w:after="0" w:line="240" w:lineRule="auto"/>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922" w:customStyle="1">
    <w:name w:val="Grid Table 7 Colorful - Accent 3"/>
    <w:basedOn w:val="835"/>
    <w:uiPriority w:val="99"/>
    <w:pPr>
      <w:spacing w:after="0" w:line="240" w:lineRule="auto"/>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style>
  <w:style w:type="table" w:styleId="923" w:customStyle="1">
    <w:name w:val="Grid Table 7 Colorful - Accent 4"/>
    <w:basedOn w:val="835"/>
    <w:uiPriority w:val="99"/>
    <w:pPr>
      <w:spacing w:after="0" w:line="240" w:lineRule="auto"/>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924" w:customStyle="1">
    <w:name w:val="Grid Table 7 Colorful - Accent 5"/>
    <w:basedOn w:val="835"/>
    <w:uiPriority w:val="99"/>
    <w:pPr>
      <w:spacing w:after="0" w:line="240" w:lineRule="auto"/>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rFonts w:ascii="Arial" w:hAnsi="Arial"/>
        <w:i/>
        <w:color w:val="254175" w:themeColor="accent5" w:themeShade="95"/>
        <w:sz w:val="22"/>
      </w:rPr>
      <w:pPr>
        <w:jc w:val="right"/>
      </w:p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style>
  <w:style w:type="table" w:styleId="925" w:customStyle="1">
    <w:name w:val="Grid Table 7 Colorful - Accent 6"/>
    <w:basedOn w:val="835"/>
    <w:uiPriority w:val="99"/>
    <w:pPr>
      <w:spacing w:after="0" w:line="240" w:lineRule="auto"/>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style>
  <w:style w:type="table" w:styleId="926" w:customStyle="1">
    <w:name w:val="List Table 1 Light"/>
    <w:basedOn w:val="835"/>
    <w:uiPriority w:val="99"/>
    <w:pPr>
      <w:spacing w:after="0" w:line="240" w:lineRule="auto"/>
    </w:pPr>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927" w:customStyle="1">
    <w:name w:val="List Table 1 Light - Accent 1"/>
    <w:basedOn w:val="835"/>
    <w:uiPriority w:val="99"/>
    <w:pPr>
      <w:spacing w:after="0" w:line="240" w:lineRule="auto"/>
    </w:pPr>
    <w:tblPr>
      <w:tblStyleRowBandSize w:val="1"/>
      <w:tblStyleColBandSize w:val="1"/>
    </w:tblPr>
    <w:tblStylePr w:type="band1Horz">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StylePr>
    <w:tblStylePr w:type="lastRow">
      <w:rPr>
        <w:b/>
        <w:color w:val="404040"/>
      </w:rPr>
      <w:tcPr>
        <w:tcBorders>
          <w:top w:val="single" w:color="5B9BD5" w:themeColor="accent1" w:sz="4" w:space="0"/>
          <w:left w:val="none" w:color="000000" w:sz="4" w:space="0"/>
          <w:bottom w:val="none" w:color="000000" w:sz="4" w:space="0"/>
          <w:right w:val="none" w:color="000000" w:sz="4" w:space="0"/>
        </w:tcBorders>
      </w:tcPr>
    </w:tblStylePr>
  </w:style>
  <w:style w:type="table" w:styleId="928" w:customStyle="1">
    <w:name w:val="List Table 1 Light - Accent 2"/>
    <w:basedOn w:val="835"/>
    <w:uiPriority w:val="99"/>
    <w:pPr>
      <w:spacing w:after="0" w:line="240" w:lineRule="auto"/>
    </w:pPr>
    <w:tblPr>
      <w:tblStyleRowBandSize w:val="1"/>
      <w:tblStyleColBandSize w:val="1"/>
    </w:tblPr>
    <w:tblStylePr w:type="band1Horz">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929" w:customStyle="1">
    <w:name w:val="List Table 1 Light - Accent 3"/>
    <w:basedOn w:val="835"/>
    <w:uiPriority w:val="99"/>
    <w:pPr>
      <w:spacing w:after="0" w:line="240" w:lineRule="auto"/>
    </w:pPr>
    <w:tblPr>
      <w:tblStyleRowBandSize w:val="1"/>
      <w:tblStyleColBandSize w:val="1"/>
    </w:tblPr>
    <w:tblStylePr w:type="band1Horz">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930" w:customStyle="1">
    <w:name w:val="List Table 1 Light - Accent 4"/>
    <w:basedOn w:val="835"/>
    <w:uiPriority w:val="99"/>
    <w:pPr>
      <w:spacing w:after="0" w:line="240" w:lineRule="auto"/>
    </w:pPr>
    <w:tblPr>
      <w:tblStyleRowBandSize w:val="1"/>
      <w:tblStyleColBandSize w:val="1"/>
    </w:tblPr>
    <w:tblStylePr w:type="band1Horz">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931" w:customStyle="1">
    <w:name w:val="List Table 1 Light - Accent 5"/>
    <w:basedOn w:val="835"/>
    <w:uiPriority w:val="99"/>
    <w:pPr>
      <w:spacing w:after="0" w:line="240" w:lineRule="auto"/>
    </w:pPr>
    <w:tblPr>
      <w:tblStyleRowBandSize w:val="1"/>
      <w:tblStyleColBandSize w:val="1"/>
    </w:tblPr>
    <w:tblStylePr w:type="band1Horz">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StylePr>
    <w:tblStylePr w:type="lastRow">
      <w:rPr>
        <w:b/>
        <w:color w:val="404040"/>
      </w:rPr>
      <w:tcPr>
        <w:tcBorders>
          <w:top w:val="single" w:color="4472C4" w:themeColor="accent5" w:sz="4" w:space="0"/>
          <w:left w:val="none" w:color="000000" w:sz="4" w:space="0"/>
          <w:bottom w:val="none" w:color="000000" w:sz="4" w:space="0"/>
          <w:right w:val="none" w:color="000000" w:sz="4" w:space="0"/>
        </w:tcBorders>
      </w:tcPr>
    </w:tblStylePr>
  </w:style>
  <w:style w:type="table" w:styleId="932" w:customStyle="1">
    <w:name w:val="List Table 1 Light - Accent 6"/>
    <w:basedOn w:val="835"/>
    <w:uiPriority w:val="99"/>
    <w:pPr>
      <w:spacing w:after="0" w:line="240" w:lineRule="auto"/>
    </w:pPr>
    <w:tblPr>
      <w:tblStyleRowBandSize w:val="1"/>
      <w:tblStyleColBandSize w:val="1"/>
    </w:tblPr>
    <w:tblStylePr w:type="band1Horz">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933" w:customStyle="1">
    <w:name w:val="List Table 2"/>
    <w:basedOn w:val="835"/>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934" w:customStyle="1">
    <w:name w:val="List Table 2 - Accent 1"/>
    <w:basedOn w:val="835"/>
    <w:uiPriority w:val="99"/>
    <w:pPr>
      <w:spacing w:after="0" w:line="240" w:lineRule="auto"/>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style>
  <w:style w:type="table" w:styleId="935" w:customStyle="1">
    <w:name w:val="List Table 2 - Accent 2"/>
    <w:basedOn w:val="835"/>
    <w:uiPriority w:val="99"/>
    <w:pPr>
      <w:spacing w:after="0" w:line="240" w:lineRule="auto"/>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style>
  <w:style w:type="table" w:styleId="936" w:customStyle="1">
    <w:name w:val="List Table 2 - Accent 3"/>
    <w:basedOn w:val="835"/>
    <w:uiPriority w:val="99"/>
    <w:pPr>
      <w:spacing w:after="0" w:line="240" w:lineRule="auto"/>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style>
  <w:style w:type="table" w:styleId="937" w:customStyle="1">
    <w:name w:val="List Table 2 - Accent 4"/>
    <w:basedOn w:val="835"/>
    <w:uiPriority w:val="99"/>
    <w:pPr>
      <w:spacing w:after="0" w:line="240" w:lineRule="auto"/>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style>
  <w:style w:type="table" w:styleId="938" w:customStyle="1">
    <w:name w:val="List Table 2 - Accent 5"/>
    <w:basedOn w:val="835"/>
    <w:uiPriority w:val="99"/>
    <w:pPr>
      <w:spacing w:after="0" w:line="240" w:lineRule="auto"/>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style>
  <w:style w:type="table" w:styleId="939" w:customStyle="1">
    <w:name w:val="List Table 2 - Accent 6"/>
    <w:basedOn w:val="835"/>
    <w:uiPriority w:val="99"/>
    <w:pPr>
      <w:spacing w:after="0" w:line="240" w:lineRule="auto"/>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style>
  <w:style w:type="table" w:styleId="940" w:customStyle="1">
    <w:name w:val="List Table 3"/>
    <w:basedOn w:val="835"/>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41" w:customStyle="1">
    <w:name w:val="List Table 3 - Accent 1"/>
    <w:basedOn w:val="835"/>
    <w:uiPriority w:val="99"/>
    <w:pPr>
      <w:spacing w:after="0" w:line="240" w:lineRule="auto"/>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942" w:customStyle="1">
    <w:name w:val="List Table 3 - Accent 2"/>
    <w:basedOn w:val="835"/>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Pr>
    </w:tblStylePr>
    <w:tblStylePr w:type="lastCol">
      <w:rPr>
        <w:b/>
        <w:color w:val="404040"/>
      </w:rPr>
    </w:tblStylePr>
    <w:tblStylePr w:type="lastRow">
      <w:rPr>
        <w:b/>
        <w:color w:val="404040"/>
      </w:rPr>
    </w:tblStylePr>
  </w:style>
  <w:style w:type="table" w:styleId="943" w:customStyle="1">
    <w:name w:val="List Table 3 - Accent 3"/>
    <w:basedOn w:val="835"/>
    <w:uiPriority w:val="99"/>
    <w:pPr>
      <w:spacing w:after="0" w:line="240" w:lineRule="auto"/>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firstCol">
      <w:rPr>
        <w:b/>
        <w:color w:val="404040"/>
      </w:rPr>
    </w:tblStylePr>
    <w:tblStylePr w:type="firstRow">
      <w:rPr>
        <w:rFonts w:ascii="Arial" w:hAnsi="Arial"/>
        <w:b/>
        <w:color w:val="ffffff"/>
        <w:sz w:val="22"/>
      </w:rPr>
      <w:tcPr>
        <w:shd w:val="clear" w:color="c9c9c9" w:themeColor="accent3" w:themeTint="98" w:fill="c9c9c9" w:themeFill="accent3" w:themeFillTint="98"/>
      </w:tcPr>
    </w:tblStylePr>
    <w:tblStylePr w:type="lastCol">
      <w:rPr>
        <w:b/>
        <w:color w:val="404040"/>
      </w:rPr>
    </w:tblStylePr>
    <w:tblStylePr w:type="lastRow">
      <w:rPr>
        <w:b/>
        <w:color w:val="404040"/>
      </w:rPr>
    </w:tblStylePr>
  </w:style>
  <w:style w:type="table" w:styleId="944" w:customStyle="1">
    <w:name w:val="List Table 3 - Accent 4"/>
    <w:basedOn w:val="835"/>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Pr>
    </w:tblStylePr>
    <w:tblStylePr w:type="lastCol">
      <w:rPr>
        <w:b/>
        <w:color w:val="404040"/>
      </w:rPr>
    </w:tblStylePr>
    <w:tblStylePr w:type="lastRow">
      <w:rPr>
        <w:b/>
        <w:color w:val="404040"/>
      </w:rPr>
    </w:tblStylePr>
  </w:style>
  <w:style w:type="table" w:styleId="945" w:customStyle="1">
    <w:name w:val="List Table 3 - Accent 5"/>
    <w:basedOn w:val="835"/>
    <w:uiPriority w:val="99"/>
    <w:pPr>
      <w:spacing w:after="0" w:line="240" w:lineRule="auto"/>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band1Horz">
      <w:rPr>
        <w:rFonts w:ascii="Arial" w:hAnsi="Arial"/>
        <w:color w:val="404040"/>
        <w:sz w:val="22"/>
      </w:r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tcPr>
        <w:tcBorders>
          <w:left w:val="single" w:color="8DA9DB" w:themeColor="accent5" w:themeTint="9A" w:sz="4" w:space="0"/>
          <w:right w:val="single" w:color="8DA9DB" w:themeColor="accent5" w:themeTint="9A" w:sz="4" w:space="0"/>
        </w:tcBorders>
      </w:tcPr>
    </w:tblStylePr>
    <w:tblStylePr w:type="firstCol">
      <w:rPr>
        <w:b/>
        <w:color w:val="404040"/>
      </w:rPr>
    </w:tblStylePr>
    <w:tblStylePr w:type="firstRow">
      <w:rPr>
        <w:rFonts w:ascii="Arial" w:hAnsi="Arial"/>
        <w:b/>
        <w:color w:val="ffffff"/>
        <w:sz w:val="22"/>
      </w:rPr>
      <w:tcPr>
        <w:shd w:val="clear" w:color="8da9db" w:themeColor="accent5" w:themeTint="9A" w:fill="8da9db" w:themeFill="accent5" w:themeFillTint="9A"/>
      </w:tcPr>
    </w:tblStylePr>
    <w:tblStylePr w:type="lastCol">
      <w:rPr>
        <w:b/>
        <w:color w:val="404040"/>
      </w:rPr>
    </w:tblStylePr>
    <w:tblStylePr w:type="lastRow">
      <w:rPr>
        <w:b/>
        <w:color w:val="404040"/>
      </w:rPr>
    </w:tblStylePr>
  </w:style>
  <w:style w:type="table" w:styleId="946" w:customStyle="1">
    <w:name w:val="List Table 3 - Accent 6"/>
    <w:basedOn w:val="835"/>
    <w:uiPriority w:val="99"/>
    <w:pPr>
      <w:spacing w:after="0" w:line="240" w:lineRule="auto"/>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firstCol">
      <w:rPr>
        <w:b/>
        <w:color w:val="404040"/>
      </w:rPr>
    </w:tblStylePr>
    <w:tblStylePr w:type="firstRow">
      <w:rPr>
        <w:rFonts w:ascii="Arial" w:hAnsi="Arial"/>
        <w:b/>
        <w:color w:val="ffffff"/>
        <w:sz w:val="22"/>
      </w:rPr>
      <w:tcPr>
        <w:shd w:val="clear" w:color="a9d08e" w:themeColor="accent6" w:themeTint="98" w:fill="a9d08e" w:themeFill="accent6" w:themeFillTint="98"/>
      </w:tcPr>
    </w:tblStylePr>
    <w:tblStylePr w:type="lastCol">
      <w:rPr>
        <w:b/>
        <w:color w:val="404040"/>
      </w:rPr>
    </w:tblStylePr>
    <w:tblStylePr w:type="lastRow">
      <w:rPr>
        <w:b/>
        <w:color w:val="404040"/>
      </w:rPr>
    </w:tblStylePr>
  </w:style>
  <w:style w:type="table" w:styleId="947" w:customStyle="1">
    <w:name w:val="List Table 4"/>
    <w:basedOn w:val="835"/>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48" w:customStyle="1">
    <w:name w:val="List Table 4 - Accent 1"/>
    <w:basedOn w:val="835"/>
    <w:uiPriority w:val="9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949" w:customStyle="1">
    <w:name w:val="List Table 4 - Accent 2"/>
    <w:basedOn w:val="835"/>
    <w:uiPriority w:val="9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ed7d31" w:themeColor="accent2" w:fill="ed7d31" w:themeFill="accent2"/>
      </w:tcPr>
    </w:tblStylePr>
    <w:tblStylePr w:type="lastCol">
      <w:rPr>
        <w:b/>
        <w:color w:val="404040"/>
      </w:rPr>
    </w:tblStylePr>
    <w:tblStylePr w:type="lastRow">
      <w:rPr>
        <w:b/>
        <w:color w:val="404040"/>
      </w:rPr>
    </w:tblStylePr>
  </w:style>
  <w:style w:type="table" w:styleId="950" w:customStyle="1">
    <w:name w:val="List Table 4 - Accent 3"/>
    <w:basedOn w:val="835"/>
    <w:uiPriority w:val="9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a5a5a5" w:themeColor="accent3" w:fill="a5a5a5" w:themeFill="accent3"/>
      </w:tcPr>
    </w:tblStylePr>
    <w:tblStylePr w:type="lastCol">
      <w:rPr>
        <w:b/>
        <w:color w:val="404040"/>
      </w:rPr>
    </w:tblStylePr>
    <w:tblStylePr w:type="lastRow">
      <w:rPr>
        <w:b/>
        <w:color w:val="404040"/>
      </w:rPr>
    </w:tblStylePr>
  </w:style>
  <w:style w:type="table" w:styleId="951" w:customStyle="1">
    <w:name w:val="List Table 4 - Accent 4"/>
    <w:basedOn w:val="835"/>
    <w:uiPriority w:val="9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c000" w:themeColor="accent4" w:fill="ffc000" w:themeFill="accent4"/>
      </w:tcPr>
    </w:tblStylePr>
    <w:tblStylePr w:type="lastCol">
      <w:rPr>
        <w:b/>
        <w:color w:val="404040"/>
      </w:rPr>
    </w:tblStylePr>
    <w:tblStylePr w:type="lastRow">
      <w:rPr>
        <w:b/>
        <w:color w:val="404040"/>
      </w:rPr>
    </w:tblStylePr>
  </w:style>
  <w:style w:type="table" w:styleId="952" w:customStyle="1">
    <w:name w:val="List Table 4 - Accent 5"/>
    <w:basedOn w:val="835"/>
    <w:uiPriority w:val="9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b/>
        <w:color w:val="404040"/>
      </w:rPr>
    </w:tblStylePr>
    <w:tblStylePr w:type="firstRow">
      <w:rPr>
        <w:rFonts w:ascii="Arial" w:hAnsi="Arial"/>
        <w:b/>
        <w:color w:val="ffffff"/>
        <w:sz w:val="22"/>
      </w:rPr>
      <w:tcPr>
        <w:shd w:val="clear" w:color="4472c4" w:themeColor="accent5" w:fill="4472c4" w:themeFill="accent5"/>
      </w:tcPr>
    </w:tblStylePr>
    <w:tblStylePr w:type="lastCol">
      <w:rPr>
        <w:b/>
        <w:color w:val="404040"/>
      </w:rPr>
    </w:tblStylePr>
    <w:tblStylePr w:type="lastRow">
      <w:rPr>
        <w:b/>
        <w:color w:val="404040"/>
      </w:rPr>
    </w:tblStylePr>
  </w:style>
  <w:style w:type="table" w:styleId="953" w:customStyle="1">
    <w:name w:val="List Table 4 - Accent 6"/>
    <w:basedOn w:val="835"/>
    <w:uiPriority w:val="9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b/>
        <w:color w:val="404040"/>
      </w:rPr>
    </w:tblStylePr>
    <w:tblStylePr w:type="firstRow">
      <w:rPr>
        <w:rFonts w:ascii="Arial" w:hAnsi="Arial"/>
        <w:b/>
        <w:color w:val="ffffff"/>
        <w:sz w:val="22"/>
      </w:rPr>
      <w:tcPr>
        <w:shd w:val="clear" w:color="70ad47" w:themeColor="accent6" w:fill="70ad47" w:themeFill="accent6"/>
      </w:tcPr>
    </w:tblStylePr>
    <w:tblStylePr w:type="lastCol">
      <w:rPr>
        <w:b/>
        <w:color w:val="404040"/>
      </w:rPr>
    </w:tblStylePr>
    <w:tblStylePr w:type="lastRow">
      <w:rPr>
        <w:b/>
        <w:color w:val="404040"/>
      </w:rPr>
    </w:tblStylePr>
  </w:style>
  <w:style w:type="table" w:styleId="954" w:customStyle="1">
    <w:name w:val="List Table 5 Dark"/>
    <w:basedOn w:val="835"/>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955" w:customStyle="1">
    <w:name w:val="List Table 5 Dark - Accent 1"/>
    <w:basedOn w:val="835"/>
    <w:uiPriority w:val="99"/>
    <w:pPr>
      <w:spacing w:after="0" w:line="240" w:lineRule="auto"/>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blStylePr w:type="band1Horz">
      <w:tcPr>
        <w:shd w:val="clear" w:color="5b9bd5" w:themeColor="accent1" w:fill="5b9bd5" w:themeFill="accent1"/>
        <w:tcBorders>
          <w:top w:val="single" w:color="FFFFFF" w:themeColor="light1" w:sz="4" w:space="0"/>
          <w:bottom w:val="single" w:color="FFFFFF" w:themeColor="light1" w:sz="4" w:space="0"/>
        </w:tcBorders>
      </w:tcPr>
    </w:tblStylePr>
    <w:tblStylePr w:type="band1Vert">
      <w:tcPr>
        <w:shd w:val="clear" w:color="5b9bd5" w:themeColor="accent1" w:fill="5b9bd5" w:themeFill="accent1"/>
        <w:tcBorders>
          <w:left w:val="single" w:color="FFFFFF" w:themeColor="light1" w:sz="4" w:space="0"/>
          <w:right w:val="single" w:color="FFFFFF" w:themeColor="light1" w:sz="4" w:space="0"/>
        </w:tcBorders>
      </w:tcPr>
    </w:tblStylePr>
    <w:tblStylePr w:type="band2Horz">
      <w:tcPr>
        <w:shd w:val="clear" w:color="5b9bd5" w:themeColor="accent1" w:fill="5b9bd5"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tcPr>
        <w:shd w:val="clear" w:color="5b9bd5" w:themeColor="accent1" w:fill="5b9bd5" w:themeFill="accent1"/>
        <w:tcBorders>
          <w:top w:val="single" w:color="5B9BD5" w:themeColor="accent1" w:sz="32" w:space="0"/>
          <w:bottom w:val="single" w:color="FFFFFF" w:themeColor="light1" w:sz="12" w:space="0"/>
        </w:tcBorders>
      </w:tcPr>
    </w:tblStylePr>
    <w:tblStylePr w:type="lastCol">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tblStylePr>
  </w:style>
  <w:style w:type="table" w:styleId="956" w:customStyle="1">
    <w:name w:val="List Table 5 Dark - Accent 2"/>
    <w:basedOn w:val="835"/>
    <w:uiPriority w:val="99"/>
    <w:pPr>
      <w:spacing w:after="0" w:line="240" w:lineRule="auto"/>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band1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tblStylePr>
  </w:style>
  <w:style w:type="table" w:styleId="957" w:customStyle="1">
    <w:name w:val="List Table 5 Dark - Accent 3"/>
    <w:basedOn w:val="835"/>
    <w:uiPriority w:val="99"/>
    <w:pPr>
      <w:spacing w:after="0" w:line="240" w:lineRule="auto"/>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band1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tblStylePr>
  </w:style>
  <w:style w:type="table" w:styleId="958" w:customStyle="1">
    <w:name w:val="List Table 5 Dark - Accent 4"/>
    <w:basedOn w:val="835"/>
    <w:uiPriority w:val="99"/>
    <w:pPr>
      <w:spacing w:after="0" w:line="240" w:lineRule="auto"/>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band1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tblStylePr>
  </w:style>
  <w:style w:type="table" w:styleId="959" w:customStyle="1">
    <w:name w:val="List Table 5 Dark - Accent 5"/>
    <w:basedOn w:val="835"/>
    <w:uiPriority w:val="99"/>
    <w:pPr>
      <w:spacing w:after="0" w:line="240" w:lineRule="auto"/>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blStylePr w:type="band1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tblStylePr>
  </w:style>
  <w:style w:type="table" w:styleId="960" w:customStyle="1">
    <w:name w:val="List Table 5 Dark - Accent 6"/>
    <w:basedOn w:val="835"/>
    <w:uiPriority w:val="99"/>
    <w:pPr>
      <w:spacing w:after="0" w:line="240" w:lineRule="auto"/>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band1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tblStylePr>
  </w:style>
  <w:style w:type="table" w:styleId="961" w:customStyle="1">
    <w:name w:val="List Table 6 Colorful"/>
    <w:basedOn w:val="835"/>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962" w:customStyle="1">
    <w:name w:val="List Table 6 Colorful - Accent 1"/>
    <w:basedOn w:val="835"/>
    <w:uiPriority w:val="99"/>
    <w:pPr>
      <w:spacing w:after="0" w:line="240" w:lineRule="auto"/>
    </w:pPr>
    <w:tblPr>
      <w:tblStyleRowBandSize w:val="1"/>
      <w:tblStyleColBandSize w:val="1"/>
      <w:tblBorders>
        <w:top w:val="single" w:color="5B9BD5" w:themeColor="accent1" w:sz="4" w:space="0"/>
        <w:bottom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b/>
        <w:color w:val="245a8d" w:themeColor="accent1" w:themeShade="95"/>
      </w:rPr>
    </w:tblStylePr>
    <w:tblStylePr w:type="firstRow">
      <w:rPr>
        <w:b/>
        <w:color w:val="245a8d" w:themeColor="accent1" w:themeShade="95"/>
      </w:rPr>
      <w:tcPr>
        <w:tcBorders>
          <w:bottom w:val="single" w:color="5B9BD5" w:themeColor="accent1" w:sz="4" w:space="0"/>
        </w:tcBorders>
      </w:tcPr>
    </w:tblStylePr>
    <w:tblStylePr w:type="lastCol">
      <w:rPr>
        <w:b/>
        <w:color w:val="245a8d" w:themeColor="accent1" w:themeShade="95"/>
      </w:rPr>
    </w:tblStylePr>
    <w:tblStylePr w:type="lastRow">
      <w:rPr>
        <w:b/>
        <w:color w:val="245a8d" w:themeColor="accent1" w:themeShade="95"/>
      </w:rPr>
      <w:tcPr>
        <w:tcBorders>
          <w:top w:val="single" w:color="5B9BD5" w:themeColor="accent1" w:sz="4" w:space="0"/>
        </w:tcBorders>
      </w:tcPr>
    </w:tblStylePr>
  </w:style>
  <w:style w:type="table" w:styleId="963" w:customStyle="1">
    <w:name w:val="List Table 6 Colorful - Accent 2"/>
    <w:basedOn w:val="835"/>
    <w:uiPriority w:val="99"/>
    <w:pPr>
      <w:spacing w:after="0" w:line="240" w:lineRule="auto"/>
    </w:pPr>
    <w:tblPr>
      <w:tblStyleRowBandSize w:val="1"/>
      <w:tblStyleColBandSize w:val="1"/>
      <w:tblBorders>
        <w:top w:val="single" w:color="F4B184" w:themeColor="accent2" w:themeTint="97" w:sz="4" w:space="0"/>
        <w:bottom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themeTint="97" w:sz="4" w:space="0"/>
        </w:tcBorders>
      </w:tcPr>
    </w:tblStylePr>
  </w:style>
  <w:style w:type="table" w:styleId="964" w:customStyle="1">
    <w:name w:val="List Table 6 Colorful - Accent 3"/>
    <w:basedOn w:val="835"/>
    <w:uiPriority w:val="99"/>
    <w:pPr>
      <w:spacing w:after="0" w:line="240" w:lineRule="auto"/>
    </w:pPr>
    <w:tblPr>
      <w:tblStyleRowBandSize w:val="1"/>
      <w:tblStyleColBandSize w:val="1"/>
      <w:tblBorders>
        <w:top w:val="single" w:color="C9C9C9" w:themeColor="accent3" w:themeTint="98" w:sz="4" w:space="0"/>
        <w:bottom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themeTint="98"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themeTint="98" w:sz="4" w:space="0"/>
        </w:tcBorders>
      </w:tcPr>
    </w:tblStylePr>
  </w:style>
  <w:style w:type="table" w:styleId="965" w:customStyle="1">
    <w:name w:val="List Table 6 Colorful - Accent 4"/>
    <w:basedOn w:val="835"/>
    <w:uiPriority w:val="99"/>
    <w:pPr>
      <w:spacing w:after="0" w:line="240" w:lineRule="auto"/>
    </w:pPr>
    <w:tblPr>
      <w:tblStyleRowBandSize w:val="1"/>
      <w:tblStyleColBandSize w:val="1"/>
      <w:tblBorders>
        <w:top w:val="single" w:color="FFD865" w:themeColor="accent4" w:themeTint="9A" w:sz="4" w:space="0"/>
        <w:bottom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themeTint="9A" w:sz="4" w:space="0"/>
        </w:tcBorders>
      </w:tcPr>
    </w:tblStylePr>
  </w:style>
  <w:style w:type="table" w:styleId="966" w:customStyle="1">
    <w:name w:val="List Table 6 Colorful - Accent 5"/>
    <w:basedOn w:val="835"/>
    <w:uiPriority w:val="99"/>
    <w:pPr>
      <w:spacing w:after="0" w:line="240" w:lineRule="auto"/>
    </w:pPr>
    <w:tblPr>
      <w:tblStyleRowBandSize w:val="1"/>
      <w:tblStyleColBandSize w:val="1"/>
      <w:tblBorders>
        <w:top w:val="single" w:color="8DA9DB" w:themeColor="accent5" w:themeTint="9A" w:sz="4" w:space="0"/>
        <w:bottom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b/>
        <w:color w:val="8da9db" w:themeColor="accent5" w:themeTint="9A" w:themeShade="95"/>
      </w:rPr>
    </w:tblStylePr>
    <w:tblStylePr w:type="firstRow">
      <w:rPr>
        <w:b/>
        <w:color w:val="8da9db" w:themeColor="accent5" w:themeTint="9A" w:themeShade="95"/>
      </w:rPr>
      <w:tcPr>
        <w:tcBorders>
          <w:bottom w:val="single" w:color="8DA9DB" w:themeColor="accent5" w:themeTint="9A" w:sz="4" w:space="0"/>
        </w:tcBorders>
      </w:tcPr>
    </w:tblStylePr>
    <w:tblStylePr w:type="lastCol">
      <w:rPr>
        <w:b/>
        <w:color w:val="8da9db" w:themeColor="accent5" w:themeTint="9A" w:themeShade="95"/>
      </w:rPr>
    </w:tblStylePr>
    <w:tblStylePr w:type="lastRow">
      <w:rPr>
        <w:b/>
        <w:color w:val="8da9db" w:themeColor="accent5" w:themeTint="9A" w:themeShade="95"/>
      </w:rPr>
      <w:tcPr>
        <w:tcBorders>
          <w:top w:val="single" w:color="8DA9DB" w:themeColor="accent5" w:themeTint="9A" w:sz="4" w:space="0"/>
        </w:tcBorders>
      </w:tcPr>
    </w:tblStylePr>
  </w:style>
  <w:style w:type="table" w:styleId="967" w:customStyle="1">
    <w:name w:val="List Table 6 Colorful - Accent 6"/>
    <w:basedOn w:val="835"/>
    <w:uiPriority w:val="99"/>
    <w:pPr>
      <w:spacing w:after="0" w:line="240" w:lineRule="auto"/>
    </w:pPr>
    <w:tblPr>
      <w:tblStyleRowBandSize w:val="1"/>
      <w:tblStyleColBandSize w:val="1"/>
      <w:tblBorders>
        <w:top w:val="single" w:color="A9D08E" w:themeColor="accent6" w:themeTint="98" w:sz="4" w:space="0"/>
        <w:bottom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themeTint="98"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themeTint="98" w:sz="4" w:space="0"/>
        </w:tcBorders>
      </w:tcPr>
    </w:tblStylePr>
  </w:style>
  <w:style w:type="table" w:styleId="968" w:customStyle="1">
    <w:name w:val="List Table 7 Colorful"/>
    <w:basedOn w:val="835"/>
    <w:uiPriority w:val="99"/>
    <w:pPr>
      <w:spacing w:after="0" w:line="240" w:lineRule="auto"/>
    </w:pPr>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969" w:customStyle="1">
    <w:name w:val="List Table 7 Colorful - Accent 1"/>
    <w:basedOn w:val="835"/>
    <w:uiPriority w:val="99"/>
    <w:pPr>
      <w:spacing w:after="0" w:line="240" w:lineRule="auto"/>
    </w:pPr>
    <w:tblPr>
      <w:tblStyleRowBandSize w:val="1"/>
      <w:tblStyleColBandSize w:val="1"/>
      <w:tblBorders>
        <w:right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rFonts w:ascii="Arial" w:hAnsi="Arial"/>
        <w:i/>
        <w:color w:val="245a8d" w:themeColor="accent1" w:themeShade="95"/>
        <w:sz w:val="22"/>
      </w:rPr>
      <w:pPr>
        <w:jc w:val="right"/>
      </w:p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style>
  <w:style w:type="table" w:styleId="970" w:customStyle="1">
    <w:name w:val="List Table 7 Colorful - Accent 2"/>
    <w:basedOn w:val="835"/>
    <w:uiPriority w:val="99"/>
    <w:pPr>
      <w:spacing w:after="0" w:line="240" w:lineRule="auto"/>
    </w:pPr>
    <w:tblPr>
      <w:tblStyleRowBandSize w:val="1"/>
      <w:tblStyleColBandSize w:val="1"/>
      <w:tblBorders>
        <w:right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971" w:customStyle="1">
    <w:name w:val="List Table 7 Colorful - Accent 3"/>
    <w:basedOn w:val="835"/>
    <w:uiPriority w:val="99"/>
    <w:pPr>
      <w:spacing w:after="0" w:line="240" w:lineRule="auto"/>
    </w:pPr>
    <w:tblPr>
      <w:tblStyleRowBandSize w:val="1"/>
      <w:tblStyleColBandSize w:val="1"/>
      <w:tblBorders>
        <w:right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style>
  <w:style w:type="table" w:styleId="972" w:customStyle="1">
    <w:name w:val="List Table 7 Colorful - Accent 4"/>
    <w:basedOn w:val="835"/>
    <w:uiPriority w:val="99"/>
    <w:pPr>
      <w:spacing w:after="0" w:line="240" w:lineRule="auto"/>
    </w:pPr>
    <w:tblPr>
      <w:tblStyleRowBandSize w:val="1"/>
      <w:tblStyleColBandSize w:val="1"/>
      <w:tblBorders>
        <w:right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973" w:customStyle="1">
    <w:name w:val="List Table 7 Colorful - Accent 5"/>
    <w:basedOn w:val="835"/>
    <w:uiPriority w:val="99"/>
    <w:pPr>
      <w:spacing w:after="0" w:line="240" w:lineRule="auto"/>
    </w:pPr>
    <w:tblPr>
      <w:tblStyleRowBandSize w:val="1"/>
      <w:tblStyleColBandSize w:val="1"/>
      <w:tblBorders>
        <w:right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rFonts w:ascii="Arial" w:hAnsi="Arial"/>
        <w:i/>
        <w:color w:val="8da9db"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style>
  <w:style w:type="table" w:styleId="974" w:customStyle="1">
    <w:name w:val="List Table 7 Colorful - Accent 6"/>
    <w:basedOn w:val="835"/>
    <w:uiPriority w:val="99"/>
    <w:pPr>
      <w:spacing w:after="0" w:line="240" w:lineRule="auto"/>
    </w:pPr>
    <w:tblPr>
      <w:tblStyleRowBandSize w:val="1"/>
      <w:tblStyleColBandSize w:val="1"/>
      <w:tblBorders>
        <w:right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style>
  <w:style w:type="table" w:styleId="975" w:customStyle="1">
    <w:name w:val="Lined - Accent"/>
    <w:basedOn w:val="835"/>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76" w:customStyle="1">
    <w:name w:val="Lined - Accent 1"/>
    <w:basedOn w:val="835"/>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977" w:customStyle="1">
    <w:name w:val="Lined - Accent 2"/>
    <w:basedOn w:val="835"/>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978" w:customStyle="1">
    <w:name w:val="Lined - Accent 3"/>
    <w:basedOn w:val="835"/>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979" w:customStyle="1">
    <w:name w:val="Lined - Accent 4"/>
    <w:basedOn w:val="835"/>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980" w:customStyle="1">
    <w:name w:val="Lined - Accent 5"/>
    <w:basedOn w:val="835"/>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981" w:customStyle="1">
    <w:name w:val="Lined - Accent 6"/>
    <w:basedOn w:val="835"/>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982" w:customStyle="1">
    <w:name w:val="Bordered &amp; Lined - Accent"/>
    <w:basedOn w:val="835"/>
    <w:uiPriority w:val="99"/>
    <w:pPr>
      <w:spacing w:after="0" w:line="240" w:lineRule="auto"/>
    </w:pPr>
    <w:rPr>
      <w:color w:val="404040"/>
      <w:sz w:val="20"/>
      <w:szCs w:val="20"/>
      <w:lang w:eastAsia="ru-RU"/>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83" w:customStyle="1">
    <w:name w:val="Bordered &amp; Lined - Accent 1"/>
    <w:basedOn w:val="835"/>
    <w:uiPriority w:val="99"/>
    <w:pPr>
      <w:spacing w:after="0" w:line="240" w:lineRule="auto"/>
    </w:pPr>
    <w:rPr>
      <w:color w:val="404040"/>
      <w:sz w:val="20"/>
      <w:szCs w:val="20"/>
      <w:lang w:eastAsia="ru-RU"/>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984" w:customStyle="1">
    <w:name w:val="Bordered &amp; Lined - Accent 2"/>
    <w:basedOn w:val="835"/>
    <w:uiPriority w:val="99"/>
    <w:pPr>
      <w:spacing w:after="0" w:line="240" w:lineRule="auto"/>
    </w:pPr>
    <w:rPr>
      <w:color w:val="404040"/>
      <w:sz w:val="20"/>
      <w:szCs w:val="20"/>
      <w:lang w:eastAsia="ru-RU"/>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985" w:customStyle="1">
    <w:name w:val="Bordered &amp; Lined - Accent 3"/>
    <w:basedOn w:val="835"/>
    <w:uiPriority w:val="99"/>
    <w:pPr>
      <w:spacing w:after="0" w:line="240" w:lineRule="auto"/>
    </w:pPr>
    <w:rPr>
      <w:color w:val="404040"/>
      <w:sz w:val="20"/>
      <w:szCs w:val="20"/>
      <w:lang w:eastAsia="ru-RU"/>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986" w:customStyle="1">
    <w:name w:val="Bordered &amp; Lined - Accent 4"/>
    <w:basedOn w:val="835"/>
    <w:uiPriority w:val="99"/>
    <w:pPr>
      <w:spacing w:after="0" w:line="240" w:lineRule="auto"/>
    </w:pPr>
    <w:rPr>
      <w:color w:val="404040"/>
      <w:sz w:val="20"/>
      <w:szCs w:val="20"/>
      <w:lang w:eastAsia="ru-RU"/>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987" w:customStyle="1">
    <w:name w:val="Bordered &amp; Lined - Accent 5"/>
    <w:basedOn w:val="835"/>
    <w:uiPriority w:val="99"/>
    <w:pPr>
      <w:spacing w:after="0" w:line="240" w:lineRule="auto"/>
    </w:pPr>
    <w:rPr>
      <w:color w:val="404040"/>
      <w:sz w:val="20"/>
      <w:szCs w:val="20"/>
      <w:lang w:eastAsia="ru-RU"/>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988" w:customStyle="1">
    <w:name w:val="Bordered &amp; Lined - Accent 6"/>
    <w:basedOn w:val="835"/>
    <w:uiPriority w:val="99"/>
    <w:pPr>
      <w:spacing w:after="0" w:line="240" w:lineRule="auto"/>
    </w:pPr>
    <w:rPr>
      <w:color w:val="404040"/>
      <w:sz w:val="20"/>
      <w:szCs w:val="20"/>
      <w:lang w:eastAsia="ru-RU"/>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989" w:customStyle="1">
    <w:name w:val="Bordered"/>
    <w:basedOn w:val="835"/>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990" w:customStyle="1">
    <w:name w:val="Bordered - Accent 1"/>
    <w:basedOn w:val="835"/>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themeColor="accent1" w:sz="12" w:space="0"/>
        </w:tcBorders>
      </w:tcPr>
    </w:tblStylePr>
    <w:tblStylePr w:type="lastCol">
      <w:rPr>
        <w:rFonts w:ascii="Arial" w:hAnsi="Arial"/>
        <w:color w:val="404040"/>
        <w:sz w:val="22"/>
      </w:rPr>
      <w:tcPr>
        <w:tcBorders>
          <w:left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style>
  <w:style w:type="table" w:styleId="991" w:customStyle="1">
    <w:name w:val="Bordered - Accent 2"/>
    <w:basedOn w:val="835"/>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themeColor="accent2" w:themeTint="97" w:sz="12" w:space="0"/>
        </w:tcBorders>
      </w:tcPr>
    </w:tblStylePr>
    <w:tblStylePr w:type="lastCol">
      <w:rPr>
        <w:rFonts w:ascii="Arial" w:hAnsi="Arial"/>
        <w:color w:val="404040"/>
        <w:sz w:val="22"/>
      </w:rPr>
      <w:tcPr>
        <w:tcBorders>
          <w:left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style>
  <w:style w:type="table" w:styleId="992" w:customStyle="1">
    <w:name w:val="Bordered - Accent 3"/>
    <w:basedOn w:val="835"/>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themeColor="accent3" w:themeTint="98" w:sz="12" w:space="0"/>
        </w:tcBorders>
      </w:tcPr>
    </w:tblStylePr>
    <w:tblStylePr w:type="lastCol">
      <w:rPr>
        <w:rFonts w:ascii="Arial" w:hAnsi="Arial"/>
        <w:color w:val="404040"/>
        <w:sz w:val="22"/>
      </w:rPr>
      <w:tcPr>
        <w:tcBorders>
          <w:left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style>
  <w:style w:type="table" w:styleId="993" w:customStyle="1">
    <w:name w:val="Bordered - Accent 4"/>
    <w:basedOn w:val="835"/>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themeColor="accent4" w:themeTint="9A" w:sz="12" w:space="0"/>
        </w:tcBorders>
      </w:tcPr>
    </w:tblStylePr>
    <w:tblStylePr w:type="lastCol">
      <w:rPr>
        <w:rFonts w:ascii="Arial" w:hAnsi="Arial"/>
        <w:color w:val="404040"/>
        <w:sz w:val="22"/>
      </w:rPr>
      <w:tcPr>
        <w:tcBorders>
          <w:left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style>
  <w:style w:type="table" w:styleId="994" w:customStyle="1">
    <w:name w:val="Bordered - Accent 5"/>
    <w:basedOn w:val="835"/>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themeColor="accent5" w:themeTint="9A" w:sz="12" w:space="0"/>
        </w:tcBorders>
      </w:tcPr>
    </w:tblStylePr>
    <w:tblStylePr w:type="lastCol">
      <w:rPr>
        <w:rFonts w:ascii="Arial" w:hAnsi="Arial"/>
        <w:color w:val="404040"/>
        <w:sz w:val="22"/>
      </w:rPr>
      <w:tcPr>
        <w:tcBorders>
          <w:left w:val="single" w:color="8DA9DB" w:themeColor="accent5" w:themeTint="9A" w:sz="12" w:space="0"/>
        </w:tcBorders>
      </w:tcPr>
    </w:tblStylePr>
    <w:tblStylePr w:type="lastRow">
      <w:rPr>
        <w:rFonts w:ascii="Arial" w:hAnsi="Arial"/>
        <w:color w:val="404040"/>
        <w:sz w:val="22"/>
      </w:rPr>
      <w:tcPr>
        <w:tcBorders>
          <w:top w:val="single" w:color="8DA9DB" w:themeColor="accent5" w:themeTint="9A" w:sz="12" w:space="0"/>
        </w:tcBorders>
      </w:tcPr>
    </w:tblStylePr>
  </w:style>
  <w:style w:type="table" w:styleId="995" w:customStyle="1">
    <w:name w:val="Bordered - Accent 6"/>
    <w:basedOn w:val="835"/>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themeColor="accent6" w:themeTint="98" w:sz="12" w:space="0"/>
        </w:tcBorders>
      </w:tcPr>
    </w:tblStylePr>
    <w:tblStylePr w:type="lastCol">
      <w:rPr>
        <w:rFonts w:ascii="Arial" w:hAnsi="Arial"/>
        <w:color w:val="404040"/>
        <w:sz w:val="22"/>
      </w:rPr>
      <w:tcPr>
        <w:tcBorders>
          <w:left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style>
  <w:style w:type="paragraph" w:styleId="996">
    <w:name w:val="footnote text"/>
    <w:basedOn w:val="824"/>
    <w:link w:val="997"/>
    <w:uiPriority w:val="99"/>
    <w:semiHidden/>
    <w:unhideWhenUsed/>
    <w:pPr>
      <w:spacing w:after="40"/>
    </w:pPr>
    <w:rPr>
      <w:sz w:val="18"/>
    </w:rPr>
  </w:style>
  <w:style w:type="character" w:styleId="997" w:customStyle="1">
    <w:name w:val="Текст сноски Знак"/>
    <w:link w:val="996"/>
    <w:uiPriority w:val="99"/>
    <w:rPr>
      <w:sz w:val="18"/>
    </w:rPr>
  </w:style>
  <w:style w:type="character" w:styleId="998">
    <w:name w:val="footnote reference"/>
    <w:basedOn w:val="834"/>
    <w:uiPriority w:val="99"/>
    <w:unhideWhenUsed/>
    <w:rPr>
      <w:vertAlign w:val="superscript"/>
    </w:rPr>
  </w:style>
  <w:style w:type="paragraph" w:styleId="999">
    <w:name w:val="endnote text"/>
    <w:basedOn w:val="824"/>
    <w:link w:val="1000"/>
    <w:uiPriority w:val="99"/>
    <w:semiHidden/>
    <w:unhideWhenUsed/>
    <w:rPr>
      <w:sz w:val="20"/>
    </w:rPr>
  </w:style>
  <w:style w:type="character" w:styleId="1000" w:customStyle="1">
    <w:name w:val="Текст концевой сноски Знак"/>
    <w:link w:val="999"/>
    <w:uiPriority w:val="99"/>
    <w:rPr>
      <w:sz w:val="20"/>
    </w:rPr>
  </w:style>
  <w:style w:type="character" w:styleId="1001">
    <w:name w:val="endnote reference"/>
    <w:basedOn w:val="834"/>
    <w:uiPriority w:val="99"/>
    <w:semiHidden/>
    <w:unhideWhenUsed/>
    <w:rPr>
      <w:vertAlign w:val="superscript"/>
    </w:rPr>
  </w:style>
  <w:style w:type="paragraph" w:styleId="1002">
    <w:name w:val="toc 2"/>
    <w:basedOn w:val="824"/>
    <w:next w:val="824"/>
    <w:uiPriority w:val="39"/>
    <w:unhideWhenUsed/>
    <w:pPr>
      <w:ind w:left="283"/>
      <w:spacing w:after="57"/>
    </w:pPr>
  </w:style>
  <w:style w:type="paragraph" w:styleId="1003">
    <w:name w:val="toc 3"/>
    <w:basedOn w:val="824"/>
    <w:next w:val="824"/>
    <w:uiPriority w:val="39"/>
    <w:unhideWhenUsed/>
    <w:pPr>
      <w:ind w:left="567"/>
      <w:spacing w:after="57"/>
    </w:pPr>
  </w:style>
  <w:style w:type="paragraph" w:styleId="1004">
    <w:name w:val="toc 5"/>
    <w:basedOn w:val="824"/>
    <w:next w:val="824"/>
    <w:uiPriority w:val="39"/>
    <w:unhideWhenUsed/>
    <w:pPr>
      <w:ind w:left="1134"/>
      <w:spacing w:after="57"/>
    </w:pPr>
  </w:style>
  <w:style w:type="paragraph" w:styleId="1005">
    <w:name w:val="toc 6"/>
    <w:basedOn w:val="824"/>
    <w:next w:val="824"/>
    <w:uiPriority w:val="39"/>
    <w:unhideWhenUsed/>
    <w:pPr>
      <w:ind w:left="1417"/>
      <w:spacing w:after="57"/>
    </w:pPr>
  </w:style>
  <w:style w:type="paragraph" w:styleId="1006">
    <w:name w:val="toc 7"/>
    <w:basedOn w:val="824"/>
    <w:next w:val="824"/>
    <w:uiPriority w:val="39"/>
    <w:unhideWhenUsed/>
    <w:pPr>
      <w:ind w:left="1701"/>
      <w:spacing w:after="57"/>
    </w:pPr>
  </w:style>
  <w:style w:type="paragraph" w:styleId="1007">
    <w:name w:val="toc 8"/>
    <w:basedOn w:val="824"/>
    <w:next w:val="824"/>
    <w:uiPriority w:val="39"/>
    <w:unhideWhenUsed/>
    <w:pPr>
      <w:ind w:left="1984"/>
      <w:spacing w:after="57"/>
    </w:pPr>
  </w:style>
  <w:style w:type="paragraph" w:styleId="1008">
    <w:name w:val="toc 9"/>
    <w:basedOn w:val="824"/>
    <w:next w:val="824"/>
    <w:uiPriority w:val="39"/>
    <w:unhideWhenUsed/>
    <w:pPr>
      <w:ind w:left="2268"/>
      <w:spacing w:after="57"/>
    </w:pPr>
  </w:style>
  <w:style w:type="paragraph" w:styleId="1009">
    <w:name w:val="TOC Heading"/>
    <w:uiPriority w:val="39"/>
    <w:unhideWhenUsed/>
  </w:style>
  <w:style w:type="paragraph" w:styleId="1010">
    <w:name w:val="table of figures"/>
    <w:basedOn w:val="824"/>
    <w:next w:val="824"/>
    <w:uiPriority w:val="99"/>
    <w:unhideWhenUsed/>
  </w:style>
  <w:style w:type="paragraph" w:styleId="1011">
    <w:name w:val="toc 1"/>
    <w:basedOn w:val="824"/>
    <w:next w:val="824"/>
    <w:uiPriority w:val="39"/>
    <w:pPr>
      <w:spacing w:before="120"/>
    </w:pPr>
    <w:rPr>
      <w:rFonts w:cs="Calibri Light (Заголовки)"/>
      <w:b/>
      <w:bCs/>
      <w:sz w:val="24"/>
      <w:szCs w:val="24"/>
    </w:rPr>
  </w:style>
  <w:style w:type="character" w:styleId="1012">
    <w:name w:val="Hyperlink"/>
    <w:uiPriority w:val="99"/>
    <w:rPr>
      <w:color w:val="0000ff"/>
      <w:u w:val="single"/>
    </w:rPr>
  </w:style>
  <w:style w:type="paragraph" w:styleId="1013">
    <w:name w:val="toc 4"/>
    <w:basedOn w:val="824"/>
    <w:next w:val="824"/>
    <w:uiPriority w:val="39"/>
    <w:pPr>
      <w:ind w:left="560"/>
    </w:pPr>
    <w:rPr>
      <w:rFonts w:cstheme="minorHAnsi"/>
      <w:sz w:val="20"/>
      <w:szCs w:val="20"/>
    </w:rPr>
  </w:style>
  <w:style w:type="paragraph" w:styleId="1014">
    <w:name w:val="Header"/>
    <w:basedOn w:val="824"/>
    <w:link w:val="1015"/>
    <w:uiPriority w:val="99"/>
    <w:unhideWhenUsed/>
    <w:pPr>
      <w:tabs>
        <w:tab w:val="center" w:pos="4677" w:leader="none"/>
        <w:tab w:val="right" w:pos="9355" w:leader="none"/>
      </w:tabs>
    </w:pPr>
  </w:style>
  <w:style w:type="character" w:styleId="1015" w:customStyle="1">
    <w:name w:val="Верхний колонтитул Знак"/>
    <w:basedOn w:val="834"/>
    <w:link w:val="1014"/>
    <w:uiPriority w:val="99"/>
    <w:rPr>
      <w:rFonts w:ascii="Times New Roman" w:hAnsi="Times New Roman" w:eastAsia="Times New Roman" w:cs="Times New Roman"/>
      <w:sz w:val="28"/>
      <w:szCs w:val="28"/>
      <w:lang w:eastAsia="ru-RU"/>
    </w:rPr>
  </w:style>
  <w:style w:type="paragraph" w:styleId="1016">
    <w:name w:val="Footer"/>
    <w:basedOn w:val="824"/>
    <w:link w:val="1017"/>
    <w:uiPriority w:val="99"/>
    <w:unhideWhenUsed/>
    <w:pPr>
      <w:tabs>
        <w:tab w:val="center" w:pos="4677" w:leader="none"/>
        <w:tab w:val="right" w:pos="9355" w:leader="none"/>
      </w:tabs>
    </w:pPr>
  </w:style>
  <w:style w:type="character" w:styleId="1017" w:customStyle="1">
    <w:name w:val="Нижний колонтитул Знак"/>
    <w:basedOn w:val="834"/>
    <w:link w:val="1016"/>
    <w:uiPriority w:val="99"/>
    <w:rPr>
      <w:rFonts w:ascii="Times New Roman" w:hAnsi="Times New Roman" w:eastAsia="Times New Roman" w:cs="Times New Roman"/>
      <w:sz w:val="28"/>
      <w:szCs w:val="28"/>
      <w:lang w:eastAsia="ru-RU"/>
    </w:rPr>
  </w:style>
  <w:style w:type="character" w:styleId="1018" w:customStyle="1">
    <w:name w:val="Заголовок 1 Знак"/>
    <w:basedOn w:val="834"/>
    <w:link w:val="825"/>
    <w:rPr>
      <w:rFonts w:ascii="Times New Roman" w:hAnsi="Times New Roman" w:eastAsia="Calibri" w:cs="Times New Roman"/>
      <w:b/>
      <w:sz w:val="28"/>
      <w:szCs w:val="28"/>
      <w:lang w:eastAsia="ru-RU"/>
    </w:rPr>
  </w:style>
  <w:style w:type="character" w:styleId="1019" w:customStyle="1">
    <w:name w:val="Заголовок 3 Знак"/>
    <w:basedOn w:val="834"/>
    <w:link w:val="827"/>
    <w:rPr>
      <w:rFonts w:ascii="Times New Roman" w:hAnsi="Times New Roman" w:eastAsia="Calibri" w:cs="Times New Roman"/>
      <w:b/>
      <w:sz w:val="24"/>
      <w:szCs w:val="24"/>
      <w:lang w:eastAsia="ru-RU"/>
    </w:rPr>
  </w:style>
  <w:style w:type="character" w:styleId="1020" w:customStyle="1">
    <w:name w:val="Заголовок 4 Знак"/>
    <w:basedOn w:val="834"/>
    <w:link w:val="828"/>
    <w:rPr>
      <w:rFonts w:ascii="Times New Roman" w:hAnsi="Times New Roman" w:eastAsia="Calibri" w:cs="Times New Roman"/>
      <w:b/>
      <w:bCs/>
      <w:sz w:val="24"/>
      <w:szCs w:val="24"/>
      <w:lang w:eastAsia="ru-RU"/>
    </w:rPr>
  </w:style>
  <w:style w:type="character" w:styleId="1021" w:customStyle="1">
    <w:name w:val="комментарий"/>
    <w:rPr>
      <w:b/>
      <w:i/>
      <w:shd w:val="clear" w:color="auto" w:fill="ffff99"/>
    </w:rPr>
  </w:style>
  <w:style w:type="paragraph" w:styleId="1022" w:customStyle="1">
    <w:name w:val="Раздел положения"/>
    <w:basedOn w:val="824"/>
    <w:pPr>
      <w:numPr>
        <w:ilvl w:val="0"/>
        <w:numId w:val="2"/>
      </w:numPr>
      <w:jc w:val="center"/>
      <w:spacing w:before="80" w:after="80"/>
    </w:pPr>
    <w:rPr>
      <w:b/>
      <w:sz w:val="32"/>
      <w:szCs w:val="32"/>
    </w:rPr>
  </w:style>
  <w:style w:type="paragraph" w:styleId="1023" w:customStyle="1">
    <w:name w:val="Подраздел раздела положения"/>
    <w:basedOn w:val="824"/>
    <w:pPr>
      <w:numPr>
        <w:ilvl w:val="1"/>
        <w:numId w:val="2"/>
      </w:numPr>
      <w:jc w:val="both"/>
      <w:spacing w:before="80" w:after="80"/>
    </w:pPr>
  </w:style>
  <w:style w:type="paragraph" w:styleId="1024">
    <w:name w:val="List Paragraph"/>
    <w:basedOn w:val="824"/>
    <w:link w:val="1025"/>
    <w:uiPriority w:val="34"/>
    <w:qFormat/>
    <w:pPr>
      <w:contextualSpacing/>
      <w:ind w:left="720"/>
    </w:pPr>
    <w:rPr>
      <w:rFonts w:eastAsia="Calibri"/>
      <w:sz w:val="24"/>
      <w:szCs w:val="24"/>
    </w:rPr>
  </w:style>
  <w:style w:type="character" w:styleId="1025" w:customStyle="1">
    <w:name w:val="Абзац списка Знак"/>
    <w:link w:val="1024"/>
    <w:uiPriority w:val="34"/>
    <w:qFormat/>
    <w:rPr>
      <w:rFonts w:ascii="Times New Roman" w:hAnsi="Times New Roman" w:eastAsia="Calibri" w:cs="Times New Roman"/>
      <w:sz w:val="24"/>
      <w:szCs w:val="24"/>
      <w:lang w:eastAsia="ru-RU"/>
    </w:rPr>
  </w:style>
  <w:style w:type="paragraph" w:styleId="1026" w:customStyle="1">
    <w:name w:val="Таблица шапка"/>
    <w:basedOn w:val="824"/>
    <w:pPr>
      <w:ind w:left="57" w:right="57"/>
      <w:keepNext/>
      <w:spacing w:before="40" w:after="40"/>
    </w:pPr>
    <w:rPr>
      <w:sz w:val="22"/>
      <w:szCs w:val="26"/>
    </w:rPr>
  </w:style>
  <w:style w:type="table" w:styleId="1027">
    <w:name w:val="Table Grid"/>
    <w:basedOn w:val="835"/>
    <w:uiPriority w:val="39"/>
    <w:pPr>
      <w:spacing w:after="0" w:line="240" w:lineRule="auto"/>
    </w:pPr>
    <w:rPr>
      <w:rFonts w:ascii="Times New Roman" w:hAnsi="Times New Roman" w:eastAsia="Times New Roman"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028" w:customStyle="1">
    <w:name w:val="Таблица"/>
    <w:basedOn w:val="824"/>
    <w:qFormat/>
    <w:pPr>
      <w:jc w:val="center"/>
      <w:keepNext/>
      <w:spacing w:before="60" w:after="60"/>
    </w:pPr>
    <w:rPr>
      <w:rFonts w:eastAsia="Calibri"/>
      <w:b/>
      <w:sz w:val="24"/>
      <w:szCs w:val="24"/>
    </w:rPr>
  </w:style>
  <w:style w:type="paragraph" w:styleId="1029">
    <w:name w:val="annotation text"/>
    <w:basedOn w:val="824"/>
    <w:link w:val="1030"/>
    <w:semiHidden/>
    <w:rPr>
      <w:sz w:val="20"/>
      <w:szCs w:val="20"/>
    </w:rPr>
  </w:style>
  <w:style w:type="character" w:styleId="1030" w:customStyle="1">
    <w:name w:val="Текст примечания Знак"/>
    <w:basedOn w:val="834"/>
    <w:link w:val="1029"/>
    <w:semiHidden/>
    <w:rPr>
      <w:rFonts w:ascii="Times New Roman" w:hAnsi="Times New Roman" w:eastAsia="Times New Roman" w:cs="Times New Roman"/>
      <w:sz w:val="20"/>
      <w:szCs w:val="20"/>
      <w:lang w:eastAsia="ru-RU"/>
    </w:rPr>
  </w:style>
  <w:style w:type="paragraph" w:styleId="1031">
    <w:name w:val="Balloon Text"/>
    <w:basedOn w:val="824"/>
    <w:link w:val="1032"/>
    <w:uiPriority w:val="99"/>
    <w:semiHidden/>
    <w:unhideWhenUsed/>
    <w:rPr>
      <w:rFonts w:ascii="Tahoma" w:hAnsi="Tahoma" w:cs="Tahoma"/>
      <w:sz w:val="16"/>
      <w:szCs w:val="16"/>
    </w:rPr>
  </w:style>
  <w:style w:type="character" w:styleId="1032" w:customStyle="1">
    <w:name w:val="Текст выноски Знак"/>
    <w:basedOn w:val="834"/>
    <w:link w:val="1031"/>
    <w:uiPriority w:val="99"/>
    <w:semiHidden/>
    <w:rPr>
      <w:rFonts w:ascii="Tahoma" w:hAnsi="Tahoma" w:eastAsia="Times New Roman" w:cs="Tahoma"/>
      <w:sz w:val="16"/>
      <w:szCs w:val="16"/>
      <w:lang w:eastAsia="ru-RU"/>
    </w:rPr>
  </w:style>
  <w:style w:type="paragraph" w:styleId="1033" w:customStyle="1">
    <w:name w:val="Contents 1"/>
    <w:basedOn w:val="1034"/>
    <w:qFormat/>
    <w:pPr>
      <w:contextualSpacing w:val="0"/>
      <w:ind w:left="0" w:right="0" w:firstLine="0"/>
      <w:jc w:val="left"/>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000000"/>
      <w:spacing w:val="0"/>
      <w:position w:val="0"/>
      <w:sz w:val="24"/>
      <w:szCs w:val="20"/>
      <w:highlight w:val="none"/>
      <w:u w:val="none"/>
      <w:vertAlign w:val="baseline"/>
      <w:rtl w:val="0"/>
      <w:cs w:val="0"/>
      <w:lang w:val="ru-RU" w:eastAsia="zh-CN" w:bidi="ar-SA"/>
      <w14:ligatures w14:val="none"/>
    </w:rPr>
  </w:style>
  <w:style w:type="paragraph" w:styleId="1034" w:customStyle="1">
    <w:name w:val="Standard"/>
    <w:qFormat/>
    <w:pPr>
      <w:contextualSpacing w:val="0"/>
      <w:ind w:left="0" w:right="0" w:firstLine="0"/>
      <w:jc w:val="left"/>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000000"/>
      <w:spacing w:val="0"/>
      <w:position w:val="0"/>
      <w:sz w:val="28"/>
      <w:szCs w:val="20"/>
      <w:highlight w:val="none"/>
      <w:u w:val="none"/>
      <w:vertAlign w:val="baseline"/>
      <w:rtl w:val="0"/>
      <w:cs w:val="0"/>
      <w:lang w:val="ru-RU" w:eastAsia="zh-CN" w:bidi="ar-SA"/>
      <w14:ligatures w14:val="none"/>
    </w:rPr>
  </w:style>
  <w:style w:type="character" w:styleId="1035" w:customStyle="1">
    <w:name w:val="Index Link"/>
    <w:qFormat/>
    <w:rPr>
      <w:rFonts w:ascii="Calibri" w:hAnsi="Calibri" w:cs="Calibri"/>
      <w:color w:val="000000"/>
      <w:sz w:val="22"/>
      <w:lang w:val="ru-RU"/>
    </w:rPr>
  </w:style>
  <w:style w:type="paragraph" w:styleId="1036" w:customStyle="1">
    <w:name w:val="Contents 4"/>
    <w:basedOn w:val="1034"/>
    <w:qFormat/>
    <w:pPr>
      <w:contextualSpacing w:val="0"/>
      <w:ind w:left="560" w:right="0" w:firstLine="0"/>
      <w:jc w:val="left"/>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000000"/>
      <w:spacing w:val="0"/>
      <w:position w:val="0"/>
      <w:sz w:val="20"/>
      <w:szCs w:val="20"/>
      <w:highlight w:val="none"/>
      <w:u w:val="none"/>
      <w:vertAlign w:val="baseline"/>
      <w:rtl w:val="0"/>
      <w:cs w:val="0"/>
      <w:lang w:val="ru-RU" w:eastAsia="zh-CN"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yperlink" Target="http://www.zakupki.gov.ru" TargetMode="External"/><Relationship Id="rId12" Type="http://schemas.openxmlformats.org/officeDocument/2006/relationships/hyperlink" Target="mailto:khalturina-ny@dgk.ru"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Р7-Офис/2025.2.2.832</Application>
  <Company>DVGK</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Коломин Олег Станиславович</dc:creator>
  <cp:keywords/>
  <dc:description/>
  <cp:lastModifiedBy>evstratenko_av</cp:lastModifiedBy>
  <cp:revision>135</cp:revision>
  <dcterms:created xsi:type="dcterms:W3CDTF">2023-01-10T06:58:00Z</dcterms:created>
  <dcterms:modified xsi:type="dcterms:W3CDTF">2026-04-07T01:24:35Z</dcterms:modified>
</cp:coreProperties>
</file>